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ED73C" w14:textId="77777777" w:rsidR="00AF1EF3" w:rsidRPr="003A1C94" w:rsidRDefault="003A1C94">
      <w:pPr>
        <w:pStyle w:val="Titolo1"/>
        <w:rPr>
          <w:noProof w:val="0"/>
        </w:rPr>
      </w:pPr>
      <w:r w:rsidRPr="003A1C94">
        <w:rPr>
          <w:noProof w:val="0"/>
        </w:rPr>
        <w:t>Biology of Microorganisms</w:t>
      </w:r>
    </w:p>
    <w:p w14:paraId="45F41301" w14:textId="77777777" w:rsidR="00AF1EF3" w:rsidRPr="003A1C94" w:rsidRDefault="003A1C94">
      <w:pPr>
        <w:pStyle w:val="Titolo2"/>
        <w:rPr>
          <w:noProof w:val="0"/>
        </w:rPr>
      </w:pPr>
      <w:r w:rsidRPr="003A1C94">
        <w:rPr>
          <w:noProof w:val="0"/>
        </w:rPr>
        <w:t>Prof. Edoardo Puglisi</w:t>
      </w:r>
    </w:p>
    <w:p w14:paraId="3F89F118" w14:textId="77777777" w:rsidR="00AF1EF3" w:rsidRPr="003A1C94" w:rsidRDefault="00AF1EF3">
      <w:pPr>
        <w:rPr>
          <w:b/>
          <w:i/>
          <w:sz w:val="18"/>
        </w:rPr>
      </w:pPr>
    </w:p>
    <w:p w14:paraId="29F2F67E" w14:textId="77777777" w:rsidR="00AF1EF3" w:rsidRPr="003A1C94" w:rsidRDefault="00AF1EF3">
      <w:pPr>
        <w:rPr>
          <w:b/>
          <w:i/>
          <w:sz w:val="18"/>
        </w:rPr>
      </w:pPr>
    </w:p>
    <w:p w14:paraId="68E71244" w14:textId="77777777" w:rsidR="00AF1EF3" w:rsidRPr="003A1C94" w:rsidRDefault="003A1C94">
      <w:pPr>
        <w:rPr>
          <w:b/>
          <w:i/>
          <w:sz w:val="18"/>
        </w:rPr>
      </w:pPr>
      <w:r w:rsidRPr="003A1C94">
        <w:rPr>
          <w:b/>
          <w:i/>
          <w:sz w:val="18"/>
        </w:rPr>
        <w:t>COURSE AIMS AND INTENDED LEARNING OUTCOMES</w:t>
      </w:r>
    </w:p>
    <w:p w14:paraId="03B4BA63" w14:textId="052F279F" w:rsidR="00AF1EF3" w:rsidRPr="003A1C94" w:rsidRDefault="003A1C94">
      <w:pPr>
        <w:spacing w:line="276" w:lineRule="auto"/>
        <w:rPr>
          <w:sz w:val="18"/>
        </w:rPr>
      </w:pPr>
      <w:r w:rsidRPr="003A1C94">
        <w:rPr>
          <w:sz w:val="18"/>
        </w:rPr>
        <w:t>The course aims to provide students with the basic notions of the structure, functions and ecology of microorganisms, with particular attention to those of agricultural, food and environmental interest.</w:t>
      </w:r>
    </w:p>
    <w:p w14:paraId="475F08DC" w14:textId="77777777" w:rsidR="00AF1EF3" w:rsidRPr="003A1C94" w:rsidRDefault="003A1C94">
      <w:pPr>
        <w:spacing w:line="276" w:lineRule="auto"/>
        <w:rPr>
          <w:sz w:val="18"/>
        </w:rPr>
      </w:pPr>
      <w:r w:rsidRPr="003A1C94">
        <w:rPr>
          <w:sz w:val="18"/>
        </w:rPr>
        <w:t>At the end of the course, students will be able to:</w:t>
      </w:r>
    </w:p>
    <w:p w14:paraId="23E3AFCC" w14:textId="4D20043B" w:rsidR="00AF1EF3" w:rsidRPr="003A1C94" w:rsidRDefault="003A1C94">
      <w:pPr>
        <w:pStyle w:val="Paragrafoelenco"/>
        <w:numPr>
          <w:ilvl w:val="0"/>
          <w:numId w:val="3"/>
        </w:numPr>
        <w:spacing w:line="276" w:lineRule="auto"/>
        <w:rPr>
          <w:sz w:val="18"/>
        </w:rPr>
      </w:pPr>
      <w:r w:rsidRPr="003A1C94">
        <w:rPr>
          <w:sz w:val="18"/>
        </w:rPr>
        <w:t>know the structure and function of the cellular components of bacteria, archaea, fungi and viruses</w:t>
      </w:r>
      <w:r>
        <w:rPr>
          <w:sz w:val="18"/>
        </w:rPr>
        <w:t>;</w:t>
      </w:r>
    </w:p>
    <w:p w14:paraId="70DBF0B6" w14:textId="604F2AF7" w:rsidR="00AF1EF3" w:rsidRPr="003A1C94" w:rsidRDefault="003A1C94">
      <w:pPr>
        <w:pStyle w:val="Paragrafoelenco"/>
        <w:numPr>
          <w:ilvl w:val="0"/>
          <w:numId w:val="3"/>
        </w:numPr>
        <w:spacing w:line="276" w:lineRule="auto"/>
        <w:rPr>
          <w:sz w:val="18"/>
        </w:rPr>
      </w:pPr>
      <w:r w:rsidRPr="003A1C94">
        <w:rPr>
          <w:sz w:val="18"/>
        </w:rPr>
        <w:t>know the methods for cultivating microorganisms and for counting their numbers using direct and indirect methods, as well as the main microbial metabolisms</w:t>
      </w:r>
      <w:r>
        <w:rPr>
          <w:sz w:val="18"/>
        </w:rPr>
        <w:t>;</w:t>
      </w:r>
    </w:p>
    <w:p w14:paraId="40AE5A85" w14:textId="58303646" w:rsidR="00AF1EF3" w:rsidRPr="003A1C94" w:rsidRDefault="003A1C94">
      <w:pPr>
        <w:pStyle w:val="Paragrafoelenco"/>
        <w:numPr>
          <w:ilvl w:val="0"/>
          <w:numId w:val="3"/>
        </w:numPr>
        <w:spacing w:line="276" w:lineRule="auto"/>
        <w:rPr>
          <w:sz w:val="18"/>
        </w:rPr>
      </w:pPr>
      <w:r w:rsidRPr="003A1C94">
        <w:rPr>
          <w:sz w:val="18"/>
        </w:rPr>
        <w:t>know the principles of prokaryotic genetics, transcription and translation replication mechanisms, as well as horizontal gene transfer mechanisms and mutations</w:t>
      </w:r>
      <w:r>
        <w:rPr>
          <w:sz w:val="18"/>
        </w:rPr>
        <w:t>;</w:t>
      </w:r>
    </w:p>
    <w:p w14:paraId="7BD38970" w14:textId="4C9EEE86" w:rsidR="00AF1EF3" w:rsidRPr="003A1C94" w:rsidRDefault="003A1C94">
      <w:pPr>
        <w:pStyle w:val="Paragrafoelenco"/>
        <w:numPr>
          <w:ilvl w:val="0"/>
          <w:numId w:val="3"/>
        </w:numPr>
        <w:spacing w:line="276" w:lineRule="auto"/>
        <w:rPr>
          <w:sz w:val="18"/>
        </w:rPr>
      </w:pPr>
      <w:r w:rsidRPr="003A1C94">
        <w:rPr>
          <w:sz w:val="18"/>
        </w:rPr>
        <w:t>evaluate methods for the control of microorganisms, both physical and chemical</w:t>
      </w:r>
      <w:r>
        <w:rPr>
          <w:sz w:val="18"/>
        </w:rPr>
        <w:t>;</w:t>
      </w:r>
    </w:p>
    <w:p w14:paraId="7D4C87D1" w14:textId="08317562" w:rsidR="00AF1EF3" w:rsidRPr="003A1C94" w:rsidRDefault="003A1C94">
      <w:pPr>
        <w:pStyle w:val="Paragrafoelenco"/>
        <w:numPr>
          <w:ilvl w:val="0"/>
          <w:numId w:val="3"/>
        </w:numPr>
        <w:spacing w:line="276" w:lineRule="auto"/>
        <w:rPr>
          <w:sz w:val="18"/>
        </w:rPr>
      </w:pPr>
      <w:r w:rsidRPr="003A1C94">
        <w:rPr>
          <w:sz w:val="18"/>
        </w:rPr>
        <w:t>know the main classes of antibiotics and the related resistance mechanisms</w:t>
      </w:r>
      <w:r>
        <w:rPr>
          <w:sz w:val="18"/>
        </w:rPr>
        <w:t>;</w:t>
      </w:r>
    </w:p>
    <w:p w14:paraId="7C03601F" w14:textId="6C70D6E3" w:rsidR="00AF1EF3" w:rsidRPr="003A1C94" w:rsidRDefault="003A1C94">
      <w:pPr>
        <w:pStyle w:val="Paragrafoelenco"/>
        <w:numPr>
          <w:ilvl w:val="0"/>
          <w:numId w:val="3"/>
        </w:numPr>
        <w:spacing w:line="276" w:lineRule="auto"/>
        <w:rPr>
          <w:sz w:val="18"/>
        </w:rPr>
      </w:pPr>
      <w:r w:rsidRPr="003A1C94">
        <w:rPr>
          <w:sz w:val="18"/>
        </w:rPr>
        <w:t>know the main methods of bacterial and fungal phylogenetic classification and will be able to describe the main microbial groups of agricultural, food and environmental interest</w:t>
      </w:r>
      <w:r>
        <w:rPr>
          <w:sz w:val="18"/>
        </w:rPr>
        <w:t>;</w:t>
      </w:r>
    </w:p>
    <w:p w14:paraId="288B8790" w14:textId="77777777" w:rsidR="00AF1EF3" w:rsidRPr="003A1C94" w:rsidRDefault="003A1C94">
      <w:pPr>
        <w:pStyle w:val="Paragrafoelenco"/>
        <w:numPr>
          <w:ilvl w:val="0"/>
          <w:numId w:val="3"/>
        </w:numPr>
        <w:spacing w:line="276" w:lineRule="auto"/>
        <w:rPr>
          <w:sz w:val="18"/>
        </w:rPr>
      </w:pPr>
      <w:r w:rsidRPr="003A1C94">
        <w:rPr>
          <w:sz w:val="18"/>
        </w:rPr>
        <w:t xml:space="preserve">possess practical laboratory skills for the isolation, counting and microscopic observation of bacteria, as well as the basic skills for sterile work. </w:t>
      </w:r>
    </w:p>
    <w:p w14:paraId="0BDC745C" w14:textId="77777777" w:rsidR="00AF1EF3" w:rsidRPr="003A1C94" w:rsidRDefault="00AF1EF3">
      <w:pPr>
        <w:ind w:left="360"/>
        <w:jc w:val="left"/>
        <w:rPr>
          <w:sz w:val="18"/>
        </w:rPr>
      </w:pPr>
    </w:p>
    <w:p w14:paraId="2368A71E" w14:textId="77777777" w:rsidR="00AF1EF3" w:rsidRPr="003A1C94" w:rsidRDefault="003A1C94">
      <w:pPr>
        <w:spacing w:before="240" w:after="120"/>
        <w:jc w:val="left"/>
        <w:rPr>
          <w:b/>
          <w:i/>
          <w:sz w:val="18"/>
        </w:rPr>
      </w:pPr>
      <w:r w:rsidRPr="003A1C94">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62"/>
        <w:gridCol w:w="1144"/>
      </w:tblGrid>
      <w:tr w:rsidR="00AF1EF3" w:rsidRPr="003A1C94" w14:paraId="3C3C10EC" w14:textId="77777777">
        <w:trPr>
          <w:trHeight w:val="259"/>
        </w:trPr>
        <w:tc>
          <w:tcPr>
            <w:tcW w:w="5762" w:type="dxa"/>
            <w:tcBorders>
              <w:top w:val="single" w:sz="4" w:space="0" w:color="auto"/>
              <w:left w:val="nil"/>
              <w:bottom w:val="single" w:sz="4" w:space="0" w:color="auto"/>
              <w:right w:val="nil"/>
            </w:tcBorders>
          </w:tcPr>
          <w:p w14:paraId="00DFFE7F" w14:textId="77777777" w:rsidR="00AF1EF3" w:rsidRPr="003A1C94" w:rsidRDefault="00AF1EF3">
            <w:pPr>
              <w:jc w:val="left"/>
              <w:rPr>
                <w:sz w:val="18"/>
              </w:rPr>
            </w:pPr>
          </w:p>
        </w:tc>
        <w:tc>
          <w:tcPr>
            <w:tcW w:w="1144" w:type="dxa"/>
            <w:tcBorders>
              <w:top w:val="single" w:sz="4" w:space="0" w:color="auto"/>
              <w:left w:val="nil"/>
              <w:bottom w:val="single" w:sz="4" w:space="0" w:color="auto"/>
              <w:right w:val="nil"/>
            </w:tcBorders>
            <w:hideMark/>
          </w:tcPr>
          <w:p w14:paraId="2C330463" w14:textId="77777777" w:rsidR="00AF1EF3" w:rsidRPr="003A1C94" w:rsidRDefault="003A1C94">
            <w:pPr>
              <w:rPr>
                <w:sz w:val="18"/>
              </w:rPr>
            </w:pPr>
            <w:r w:rsidRPr="003A1C94">
              <w:rPr>
                <w:sz w:val="18"/>
              </w:rPr>
              <w:t>ECTS</w:t>
            </w:r>
          </w:p>
        </w:tc>
      </w:tr>
      <w:tr w:rsidR="00AF1EF3" w:rsidRPr="003A1C94" w14:paraId="043B8CF1" w14:textId="77777777">
        <w:trPr>
          <w:trHeight w:val="701"/>
        </w:trPr>
        <w:tc>
          <w:tcPr>
            <w:tcW w:w="5762" w:type="dxa"/>
            <w:tcBorders>
              <w:top w:val="single" w:sz="4" w:space="0" w:color="auto"/>
              <w:left w:val="nil"/>
              <w:bottom w:val="single" w:sz="4" w:space="0" w:color="auto"/>
              <w:right w:val="nil"/>
            </w:tcBorders>
            <w:hideMark/>
          </w:tcPr>
          <w:p w14:paraId="67621399" w14:textId="77777777" w:rsidR="00AF1EF3" w:rsidRPr="003A1C94" w:rsidRDefault="003A1C94">
            <w:pPr>
              <w:rPr>
                <w:sz w:val="18"/>
              </w:rPr>
            </w:pPr>
            <w:r w:rsidRPr="003A1C94">
              <w:rPr>
                <w:sz w:val="18"/>
              </w:rPr>
              <w:t xml:space="preserve">The prokaryotic cell: morphology, size, chemical composition and structure. </w:t>
            </w:r>
          </w:p>
          <w:p w14:paraId="3896BF48" w14:textId="77777777" w:rsidR="00AF1EF3" w:rsidRPr="003A1C94" w:rsidRDefault="003A1C94">
            <w:pPr>
              <w:rPr>
                <w:sz w:val="18"/>
              </w:rPr>
            </w:pPr>
            <w:r w:rsidRPr="003A1C94">
              <w:rPr>
                <w:sz w:val="18"/>
              </w:rPr>
              <w:t xml:space="preserve">Movement of the bacterial cell. </w:t>
            </w:r>
          </w:p>
          <w:p w14:paraId="0A34F9D0" w14:textId="77777777" w:rsidR="00AF1EF3" w:rsidRPr="003A1C94" w:rsidRDefault="003A1C94">
            <w:pPr>
              <w:rPr>
                <w:sz w:val="18"/>
              </w:rPr>
            </w:pPr>
            <w:r w:rsidRPr="003A1C94">
              <w:rPr>
                <w:sz w:val="18"/>
              </w:rPr>
              <w:t xml:space="preserve">Bacterial endospores. </w:t>
            </w:r>
          </w:p>
          <w:p w14:paraId="2D604D12" w14:textId="77777777" w:rsidR="00AF1EF3" w:rsidRPr="003A1C94" w:rsidRDefault="003A1C94">
            <w:pPr>
              <w:rPr>
                <w:sz w:val="18"/>
              </w:rPr>
            </w:pPr>
            <w:r w:rsidRPr="003A1C94">
              <w:rPr>
                <w:sz w:val="18"/>
              </w:rPr>
              <w:t xml:space="preserve">Pure culture, type strain and conservation of bacterial cells. </w:t>
            </w:r>
          </w:p>
          <w:p w14:paraId="62798155" w14:textId="3FF0BBB3" w:rsidR="00AF1EF3" w:rsidRPr="003A1C94" w:rsidRDefault="003A1C94">
            <w:pPr>
              <w:rPr>
                <w:sz w:val="18"/>
              </w:rPr>
            </w:pPr>
            <w:r w:rsidRPr="003A1C94">
              <w:rPr>
                <w:sz w:val="18"/>
              </w:rPr>
              <w:t>International collections</w:t>
            </w:r>
            <w:r>
              <w:rPr>
                <w:sz w:val="18"/>
              </w:rPr>
              <w:t>.</w:t>
            </w:r>
          </w:p>
        </w:tc>
        <w:tc>
          <w:tcPr>
            <w:tcW w:w="1144" w:type="dxa"/>
            <w:tcBorders>
              <w:top w:val="single" w:sz="4" w:space="0" w:color="auto"/>
              <w:left w:val="nil"/>
              <w:bottom w:val="single" w:sz="4" w:space="0" w:color="auto"/>
              <w:right w:val="nil"/>
            </w:tcBorders>
            <w:hideMark/>
          </w:tcPr>
          <w:p w14:paraId="6A6372E4" w14:textId="77777777" w:rsidR="00AF1EF3" w:rsidRPr="003A1C94" w:rsidRDefault="003A1C94">
            <w:pPr>
              <w:rPr>
                <w:sz w:val="18"/>
              </w:rPr>
            </w:pPr>
            <w:r w:rsidRPr="003A1C94">
              <w:rPr>
                <w:sz w:val="18"/>
              </w:rPr>
              <w:t>1.0</w:t>
            </w:r>
          </w:p>
        </w:tc>
      </w:tr>
      <w:tr w:rsidR="00AF1EF3" w:rsidRPr="003A1C94" w14:paraId="2CE06691" w14:textId="77777777">
        <w:trPr>
          <w:trHeight w:val="716"/>
        </w:trPr>
        <w:tc>
          <w:tcPr>
            <w:tcW w:w="5762" w:type="dxa"/>
            <w:tcBorders>
              <w:top w:val="single" w:sz="4" w:space="0" w:color="auto"/>
              <w:left w:val="nil"/>
              <w:bottom w:val="single" w:sz="4" w:space="0" w:color="auto"/>
              <w:right w:val="nil"/>
            </w:tcBorders>
            <w:hideMark/>
          </w:tcPr>
          <w:p w14:paraId="7B9AB38B" w14:textId="77777777" w:rsidR="00AF1EF3" w:rsidRPr="003A1C94" w:rsidRDefault="003A1C94">
            <w:pPr>
              <w:rPr>
                <w:sz w:val="18"/>
              </w:rPr>
            </w:pPr>
            <w:r w:rsidRPr="003A1C94">
              <w:rPr>
                <w:sz w:val="18"/>
              </w:rPr>
              <w:t xml:space="preserve">Bacterial nutrition: the nutritional groups. </w:t>
            </w:r>
          </w:p>
          <w:p w14:paraId="78E6CBF6" w14:textId="77777777" w:rsidR="00AF1EF3" w:rsidRPr="003A1C94" w:rsidRDefault="003A1C94">
            <w:pPr>
              <w:rPr>
                <w:sz w:val="18"/>
              </w:rPr>
            </w:pPr>
            <w:r w:rsidRPr="003A1C94">
              <w:rPr>
                <w:sz w:val="18"/>
              </w:rPr>
              <w:t xml:space="preserve">Culture media. </w:t>
            </w:r>
          </w:p>
          <w:p w14:paraId="492B8EEF" w14:textId="77777777" w:rsidR="00AF1EF3" w:rsidRPr="003A1C94" w:rsidRDefault="003A1C94">
            <w:pPr>
              <w:rPr>
                <w:sz w:val="18"/>
              </w:rPr>
            </w:pPr>
            <w:r w:rsidRPr="003A1C94">
              <w:rPr>
                <w:sz w:val="18"/>
              </w:rPr>
              <w:t xml:space="preserve">Transport systems. </w:t>
            </w:r>
          </w:p>
          <w:p w14:paraId="27173653" w14:textId="77777777" w:rsidR="00AF1EF3" w:rsidRPr="003A1C94" w:rsidRDefault="003A1C94">
            <w:pPr>
              <w:rPr>
                <w:sz w:val="18"/>
              </w:rPr>
            </w:pPr>
            <w:r w:rsidRPr="003A1C94">
              <w:rPr>
                <w:sz w:val="18"/>
              </w:rPr>
              <w:t xml:space="preserve">Bacterial growth, duplication mathematics and counting methods. </w:t>
            </w:r>
          </w:p>
          <w:p w14:paraId="408BDD47" w14:textId="77777777" w:rsidR="00AF1EF3" w:rsidRPr="003A1C94" w:rsidRDefault="003A1C94">
            <w:pPr>
              <w:rPr>
                <w:sz w:val="18"/>
              </w:rPr>
            </w:pPr>
            <w:r w:rsidRPr="003A1C94">
              <w:rPr>
                <w:sz w:val="18"/>
              </w:rPr>
              <w:t xml:space="preserve">Energy metabolism or catabolism. </w:t>
            </w:r>
          </w:p>
          <w:p w14:paraId="50B4BF70" w14:textId="77777777" w:rsidR="00AF1EF3" w:rsidRPr="003A1C94" w:rsidRDefault="003A1C94">
            <w:pPr>
              <w:rPr>
                <w:sz w:val="18"/>
              </w:rPr>
            </w:pPr>
            <w:r w:rsidRPr="003A1C94">
              <w:rPr>
                <w:sz w:val="18"/>
              </w:rPr>
              <w:t>Biosynthetic metabolism or anabolism.</w:t>
            </w:r>
          </w:p>
        </w:tc>
        <w:tc>
          <w:tcPr>
            <w:tcW w:w="1144" w:type="dxa"/>
            <w:tcBorders>
              <w:top w:val="single" w:sz="4" w:space="0" w:color="auto"/>
              <w:left w:val="nil"/>
              <w:bottom w:val="single" w:sz="4" w:space="0" w:color="auto"/>
              <w:right w:val="nil"/>
            </w:tcBorders>
            <w:hideMark/>
          </w:tcPr>
          <w:p w14:paraId="412112F0" w14:textId="77777777" w:rsidR="00AF1EF3" w:rsidRPr="003A1C94" w:rsidRDefault="003A1C94">
            <w:pPr>
              <w:rPr>
                <w:sz w:val="18"/>
              </w:rPr>
            </w:pPr>
            <w:r w:rsidRPr="003A1C94">
              <w:rPr>
                <w:sz w:val="18"/>
              </w:rPr>
              <w:t>1.0</w:t>
            </w:r>
          </w:p>
        </w:tc>
      </w:tr>
      <w:tr w:rsidR="00AF1EF3" w:rsidRPr="003A1C94" w14:paraId="0E5CD424" w14:textId="77777777">
        <w:trPr>
          <w:trHeight w:val="547"/>
        </w:trPr>
        <w:tc>
          <w:tcPr>
            <w:tcW w:w="5762" w:type="dxa"/>
            <w:tcBorders>
              <w:top w:val="single" w:sz="4" w:space="0" w:color="auto"/>
              <w:left w:val="nil"/>
              <w:bottom w:val="single" w:sz="4" w:space="0" w:color="auto"/>
              <w:right w:val="nil"/>
            </w:tcBorders>
            <w:hideMark/>
          </w:tcPr>
          <w:p w14:paraId="37CB994D" w14:textId="77777777" w:rsidR="00AF1EF3" w:rsidRPr="003A1C94" w:rsidRDefault="003A1C94">
            <w:pPr>
              <w:rPr>
                <w:sz w:val="18"/>
              </w:rPr>
            </w:pPr>
            <w:r w:rsidRPr="003A1C94">
              <w:rPr>
                <w:sz w:val="18"/>
              </w:rPr>
              <w:t xml:space="preserve">Prokaryotic genetics and chromosome organisation. </w:t>
            </w:r>
          </w:p>
          <w:p w14:paraId="18C4E389" w14:textId="77777777" w:rsidR="00AF1EF3" w:rsidRPr="003A1C94" w:rsidRDefault="003A1C94">
            <w:pPr>
              <w:rPr>
                <w:sz w:val="18"/>
              </w:rPr>
            </w:pPr>
            <w:r w:rsidRPr="003A1C94">
              <w:rPr>
                <w:sz w:val="18"/>
              </w:rPr>
              <w:t xml:space="preserve">Plasmids, insertion sequences and transposons. </w:t>
            </w:r>
          </w:p>
          <w:p w14:paraId="5459B9F6" w14:textId="77777777" w:rsidR="00AF1EF3" w:rsidRPr="003A1C94" w:rsidRDefault="003A1C94">
            <w:pPr>
              <w:rPr>
                <w:sz w:val="18"/>
              </w:rPr>
            </w:pPr>
            <w:r w:rsidRPr="003A1C94">
              <w:rPr>
                <w:sz w:val="18"/>
              </w:rPr>
              <w:t xml:space="preserve">Bacteriophages and phage-resistance. </w:t>
            </w:r>
          </w:p>
          <w:p w14:paraId="113FFF3E" w14:textId="77777777" w:rsidR="00AF1EF3" w:rsidRPr="003A1C94" w:rsidRDefault="003A1C94">
            <w:pPr>
              <w:rPr>
                <w:sz w:val="18"/>
              </w:rPr>
            </w:pPr>
            <w:r w:rsidRPr="003A1C94">
              <w:rPr>
                <w:sz w:val="18"/>
              </w:rPr>
              <w:t xml:space="preserve">Horizontal genetic transfer systems: transformation, conjugation, translation. </w:t>
            </w:r>
          </w:p>
          <w:p w14:paraId="5F2F9E13" w14:textId="115D97F9" w:rsidR="00AF1EF3" w:rsidRPr="003A1C94" w:rsidRDefault="003A1C94">
            <w:pPr>
              <w:rPr>
                <w:sz w:val="18"/>
              </w:rPr>
            </w:pPr>
            <w:r w:rsidRPr="003A1C94">
              <w:rPr>
                <w:sz w:val="18"/>
              </w:rPr>
              <w:t>Organisation of the prokaryotic gene. Brief notes on gene regulation. Mutations, the Ames test and mutagenicity</w:t>
            </w:r>
            <w:r>
              <w:rPr>
                <w:sz w:val="18"/>
              </w:rPr>
              <w:t>.</w:t>
            </w:r>
          </w:p>
        </w:tc>
        <w:tc>
          <w:tcPr>
            <w:tcW w:w="1144" w:type="dxa"/>
            <w:tcBorders>
              <w:top w:val="single" w:sz="4" w:space="0" w:color="auto"/>
              <w:left w:val="nil"/>
              <w:bottom w:val="single" w:sz="4" w:space="0" w:color="auto"/>
              <w:right w:val="nil"/>
            </w:tcBorders>
            <w:hideMark/>
          </w:tcPr>
          <w:p w14:paraId="40D033B7" w14:textId="77777777" w:rsidR="00AF1EF3" w:rsidRPr="003A1C94" w:rsidRDefault="003A1C94">
            <w:pPr>
              <w:jc w:val="left"/>
              <w:rPr>
                <w:sz w:val="18"/>
              </w:rPr>
            </w:pPr>
            <w:r w:rsidRPr="003A1C94">
              <w:rPr>
                <w:sz w:val="18"/>
              </w:rPr>
              <w:t>1.0</w:t>
            </w:r>
          </w:p>
        </w:tc>
      </w:tr>
      <w:tr w:rsidR="00AF1EF3" w:rsidRPr="003A1C94" w14:paraId="5D1BD0A7" w14:textId="77777777">
        <w:trPr>
          <w:trHeight w:val="547"/>
        </w:trPr>
        <w:tc>
          <w:tcPr>
            <w:tcW w:w="5762" w:type="dxa"/>
            <w:tcBorders>
              <w:top w:val="single" w:sz="4" w:space="0" w:color="auto"/>
              <w:left w:val="nil"/>
              <w:bottom w:val="single" w:sz="4" w:space="0" w:color="auto"/>
              <w:right w:val="nil"/>
            </w:tcBorders>
          </w:tcPr>
          <w:p w14:paraId="1A4328B2" w14:textId="4E9BEC0B" w:rsidR="00AF1EF3" w:rsidRPr="003A1C94" w:rsidRDefault="003A1C94">
            <w:pPr>
              <w:rPr>
                <w:sz w:val="18"/>
              </w:rPr>
            </w:pPr>
            <w:r w:rsidRPr="003A1C94">
              <w:rPr>
                <w:sz w:val="18"/>
              </w:rPr>
              <w:t xml:space="preserve">Classical or phenotypic taxonomy. Taxonomy and phylogenesis. Genotypic methods for classification. </w:t>
            </w:r>
            <w:proofErr w:type="spellStart"/>
            <w:r w:rsidRPr="003A1C94">
              <w:rPr>
                <w:sz w:val="18"/>
              </w:rPr>
              <w:t>Bergey's</w:t>
            </w:r>
            <w:proofErr w:type="spellEnd"/>
            <w:r w:rsidRPr="003A1C94">
              <w:rPr>
                <w:sz w:val="18"/>
              </w:rPr>
              <w:t xml:space="preserve"> Manual and bacterial systematics. Phylogenetic classification. Bacterial identification methods. Certain microbial groups of agricultural, food and environmental interest</w:t>
            </w:r>
            <w:r>
              <w:rPr>
                <w:sz w:val="18"/>
              </w:rPr>
              <w:t>.</w:t>
            </w:r>
          </w:p>
        </w:tc>
        <w:tc>
          <w:tcPr>
            <w:tcW w:w="1144" w:type="dxa"/>
            <w:tcBorders>
              <w:top w:val="single" w:sz="4" w:space="0" w:color="auto"/>
              <w:left w:val="nil"/>
              <w:bottom w:val="single" w:sz="4" w:space="0" w:color="auto"/>
              <w:right w:val="nil"/>
            </w:tcBorders>
          </w:tcPr>
          <w:p w14:paraId="1D7CF04F" w14:textId="77777777" w:rsidR="00AF1EF3" w:rsidRPr="003A1C94" w:rsidRDefault="003A1C94">
            <w:pPr>
              <w:jc w:val="left"/>
              <w:rPr>
                <w:sz w:val="18"/>
              </w:rPr>
            </w:pPr>
            <w:r w:rsidRPr="003A1C94">
              <w:rPr>
                <w:sz w:val="18"/>
              </w:rPr>
              <w:t>1.0</w:t>
            </w:r>
          </w:p>
        </w:tc>
      </w:tr>
      <w:tr w:rsidR="00AF1EF3" w:rsidRPr="003A1C94" w14:paraId="1C7EF4FB" w14:textId="77777777">
        <w:trPr>
          <w:trHeight w:val="547"/>
        </w:trPr>
        <w:tc>
          <w:tcPr>
            <w:tcW w:w="5762" w:type="dxa"/>
            <w:tcBorders>
              <w:top w:val="single" w:sz="4" w:space="0" w:color="auto"/>
              <w:left w:val="nil"/>
              <w:bottom w:val="single" w:sz="4" w:space="0" w:color="auto"/>
              <w:right w:val="nil"/>
            </w:tcBorders>
          </w:tcPr>
          <w:p w14:paraId="0F207B3A" w14:textId="77777777" w:rsidR="00AF1EF3" w:rsidRPr="003A1C94" w:rsidRDefault="003A1C94">
            <w:pPr>
              <w:rPr>
                <w:sz w:val="18"/>
              </w:rPr>
            </w:pPr>
            <w:r w:rsidRPr="003A1C94">
              <w:rPr>
                <w:sz w:val="18"/>
              </w:rPr>
              <w:t xml:space="preserve">The antimicrobial struggle: principles and mathematics of cellular inactivation. </w:t>
            </w:r>
          </w:p>
          <w:p w14:paraId="6C240A67" w14:textId="77777777" w:rsidR="00AF1EF3" w:rsidRPr="003A1C94" w:rsidRDefault="003A1C94">
            <w:pPr>
              <w:rPr>
                <w:sz w:val="18"/>
              </w:rPr>
            </w:pPr>
            <w:r w:rsidRPr="003A1C94">
              <w:rPr>
                <w:sz w:val="18"/>
              </w:rPr>
              <w:t xml:space="preserve">Physical, chemical and pharmacological agents. </w:t>
            </w:r>
          </w:p>
          <w:p w14:paraId="3DB0034F" w14:textId="77777777" w:rsidR="00AF1EF3" w:rsidRPr="003A1C94" w:rsidRDefault="003A1C94">
            <w:pPr>
              <w:rPr>
                <w:sz w:val="18"/>
              </w:rPr>
            </w:pPr>
            <w:r w:rsidRPr="003A1C94">
              <w:rPr>
                <w:sz w:val="18"/>
              </w:rPr>
              <w:t xml:space="preserve">Chemical and physical methods of microorganism control. </w:t>
            </w:r>
          </w:p>
          <w:p w14:paraId="247BCB23" w14:textId="4EBB51DD" w:rsidR="00AF1EF3" w:rsidRPr="003A1C94" w:rsidRDefault="003A1C94">
            <w:pPr>
              <w:rPr>
                <w:sz w:val="18"/>
              </w:rPr>
            </w:pPr>
            <w:r w:rsidRPr="003A1C94">
              <w:rPr>
                <w:sz w:val="18"/>
              </w:rPr>
              <w:t>Antibiotic resistance</w:t>
            </w:r>
            <w:r>
              <w:rPr>
                <w:sz w:val="18"/>
              </w:rPr>
              <w:t>.</w:t>
            </w:r>
          </w:p>
        </w:tc>
        <w:tc>
          <w:tcPr>
            <w:tcW w:w="1144" w:type="dxa"/>
            <w:tcBorders>
              <w:top w:val="single" w:sz="4" w:space="0" w:color="auto"/>
              <w:left w:val="nil"/>
              <w:bottom w:val="single" w:sz="4" w:space="0" w:color="auto"/>
              <w:right w:val="nil"/>
            </w:tcBorders>
          </w:tcPr>
          <w:p w14:paraId="3C2CC499" w14:textId="77777777" w:rsidR="00AF1EF3" w:rsidRPr="003A1C94" w:rsidRDefault="003A1C94">
            <w:pPr>
              <w:jc w:val="left"/>
              <w:rPr>
                <w:sz w:val="18"/>
              </w:rPr>
            </w:pPr>
            <w:r w:rsidRPr="003A1C94">
              <w:rPr>
                <w:sz w:val="18"/>
              </w:rPr>
              <w:t>1.0</w:t>
            </w:r>
          </w:p>
        </w:tc>
      </w:tr>
      <w:tr w:rsidR="00AF1EF3" w:rsidRPr="003A1C94" w14:paraId="2AAD09F4" w14:textId="77777777">
        <w:trPr>
          <w:trHeight w:val="547"/>
        </w:trPr>
        <w:tc>
          <w:tcPr>
            <w:tcW w:w="5762" w:type="dxa"/>
            <w:tcBorders>
              <w:top w:val="single" w:sz="4" w:space="0" w:color="auto"/>
              <w:left w:val="nil"/>
              <w:bottom w:val="single" w:sz="4" w:space="0" w:color="auto"/>
              <w:right w:val="nil"/>
            </w:tcBorders>
          </w:tcPr>
          <w:p w14:paraId="4D88FB07" w14:textId="77777777" w:rsidR="00AF1EF3" w:rsidRPr="003A1C94" w:rsidRDefault="003A1C94">
            <w:pPr>
              <w:rPr>
                <w:sz w:val="18"/>
              </w:rPr>
            </w:pPr>
            <w:r w:rsidRPr="003A1C94">
              <w:rPr>
                <w:sz w:val="18"/>
              </w:rPr>
              <w:t xml:space="preserve">Taxonomy of mycetes with particular attention to yeasts. </w:t>
            </w:r>
          </w:p>
          <w:p w14:paraId="1B131E14" w14:textId="77777777" w:rsidR="00AF1EF3" w:rsidRPr="003A1C94" w:rsidRDefault="003A1C94">
            <w:pPr>
              <w:rPr>
                <w:sz w:val="18"/>
              </w:rPr>
            </w:pPr>
            <w:r w:rsidRPr="003A1C94">
              <w:rPr>
                <w:sz w:val="18"/>
              </w:rPr>
              <w:t xml:space="preserve">The genetics of yeasts. </w:t>
            </w:r>
          </w:p>
          <w:p w14:paraId="47759345" w14:textId="77777777" w:rsidR="00AF1EF3" w:rsidRPr="003A1C94" w:rsidRDefault="003A1C94">
            <w:pPr>
              <w:rPr>
                <w:sz w:val="18"/>
              </w:rPr>
            </w:pPr>
            <w:r w:rsidRPr="003A1C94">
              <w:rPr>
                <w:sz w:val="18"/>
              </w:rPr>
              <w:t xml:space="preserve">Sexual reproduction and ecology of mycetes. </w:t>
            </w:r>
          </w:p>
          <w:p w14:paraId="049FAC24" w14:textId="77777777" w:rsidR="00AF1EF3" w:rsidRPr="003A1C94" w:rsidRDefault="003A1C94">
            <w:pPr>
              <w:rPr>
                <w:sz w:val="18"/>
              </w:rPr>
            </w:pPr>
            <w:r w:rsidRPr="003A1C94">
              <w:rPr>
                <w:sz w:val="18"/>
              </w:rPr>
              <w:t>Mycetes of agro-food and environmental interest.</w:t>
            </w:r>
          </w:p>
          <w:p w14:paraId="7C9B8E08" w14:textId="03406C65" w:rsidR="00AF1EF3" w:rsidRPr="003A1C94" w:rsidRDefault="003A1C94">
            <w:pPr>
              <w:rPr>
                <w:sz w:val="18"/>
              </w:rPr>
            </w:pPr>
            <w:r w:rsidRPr="003A1C94">
              <w:rPr>
                <w:sz w:val="18"/>
              </w:rPr>
              <w:t>Antifungals</w:t>
            </w:r>
            <w:r>
              <w:rPr>
                <w:sz w:val="18"/>
              </w:rPr>
              <w:t>.</w:t>
            </w:r>
          </w:p>
        </w:tc>
        <w:tc>
          <w:tcPr>
            <w:tcW w:w="1144" w:type="dxa"/>
            <w:tcBorders>
              <w:top w:val="single" w:sz="4" w:space="0" w:color="auto"/>
              <w:left w:val="nil"/>
              <w:bottom w:val="single" w:sz="4" w:space="0" w:color="auto"/>
              <w:right w:val="nil"/>
            </w:tcBorders>
          </w:tcPr>
          <w:p w14:paraId="76A4C882" w14:textId="77777777" w:rsidR="00AF1EF3" w:rsidRPr="003A1C94" w:rsidRDefault="003A1C94">
            <w:pPr>
              <w:jc w:val="left"/>
              <w:rPr>
                <w:sz w:val="18"/>
              </w:rPr>
            </w:pPr>
            <w:r w:rsidRPr="003A1C94">
              <w:rPr>
                <w:sz w:val="18"/>
              </w:rPr>
              <w:t>1.0</w:t>
            </w:r>
          </w:p>
        </w:tc>
      </w:tr>
      <w:tr w:rsidR="00AF1EF3" w:rsidRPr="003A1C94" w14:paraId="57D2C1B3" w14:textId="77777777">
        <w:trPr>
          <w:trHeight w:val="547"/>
        </w:trPr>
        <w:tc>
          <w:tcPr>
            <w:tcW w:w="5762" w:type="dxa"/>
            <w:tcBorders>
              <w:top w:val="single" w:sz="4" w:space="0" w:color="auto"/>
              <w:left w:val="nil"/>
              <w:bottom w:val="single" w:sz="4" w:space="0" w:color="auto"/>
              <w:right w:val="nil"/>
            </w:tcBorders>
          </w:tcPr>
          <w:p w14:paraId="4B63B0AE" w14:textId="598B21C0" w:rsidR="00AF1EF3" w:rsidRPr="003A1C94" w:rsidRDefault="003A1C94">
            <w:pPr>
              <w:rPr>
                <w:sz w:val="18"/>
              </w:rPr>
            </w:pPr>
            <w:r w:rsidRPr="003A1C94">
              <w:rPr>
                <w:sz w:val="18"/>
              </w:rPr>
              <w:t xml:space="preserve">Environmental microbiology and microbial ecology: generalities. Association of microorganisms and biofilms. Microbial ecology of food. Role of </w:t>
            </w:r>
            <w:r w:rsidRPr="003A1C94">
              <w:rPr>
                <w:sz w:val="18"/>
              </w:rPr>
              <w:lastRenderedPageBreak/>
              <w:t>microorganisms in plant production. Microbial production of bioenergy and biopolymers</w:t>
            </w:r>
            <w:r>
              <w:rPr>
                <w:sz w:val="18"/>
              </w:rPr>
              <w:t>.</w:t>
            </w:r>
          </w:p>
        </w:tc>
        <w:tc>
          <w:tcPr>
            <w:tcW w:w="1144" w:type="dxa"/>
            <w:tcBorders>
              <w:top w:val="single" w:sz="4" w:space="0" w:color="auto"/>
              <w:left w:val="nil"/>
              <w:bottom w:val="single" w:sz="4" w:space="0" w:color="auto"/>
              <w:right w:val="nil"/>
            </w:tcBorders>
          </w:tcPr>
          <w:p w14:paraId="4A7DD149" w14:textId="77777777" w:rsidR="00AF1EF3" w:rsidRPr="003A1C94" w:rsidRDefault="003A1C94">
            <w:pPr>
              <w:jc w:val="left"/>
              <w:rPr>
                <w:sz w:val="18"/>
              </w:rPr>
            </w:pPr>
            <w:r w:rsidRPr="003A1C94">
              <w:rPr>
                <w:sz w:val="18"/>
              </w:rPr>
              <w:lastRenderedPageBreak/>
              <w:t>1.0</w:t>
            </w:r>
          </w:p>
        </w:tc>
      </w:tr>
      <w:tr w:rsidR="00AF1EF3" w:rsidRPr="003A1C94" w14:paraId="6481EC60" w14:textId="77777777">
        <w:trPr>
          <w:trHeight w:val="547"/>
        </w:trPr>
        <w:tc>
          <w:tcPr>
            <w:tcW w:w="5762" w:type="dxa"/>
            <w:tcBorders>
              <w:top w:val="single" w:sz="4" w:space="0" w:color="auto"/>
              <w:left w:val="nil"/>
              <w:bottom w:val="single" w:sz="4" w:space="0" w:color="auto"/>
              <w:right w:val="nil"/>
            </w:tcBorders>
          </w:tcPr>
          <w:p w14:paraId="4B5DC43F" w14:textId="6AFAD0E9" w:rsidR="00AF1EF3" w:rsidRPr="003A1C94" w:rsidRDefault="003A1C94">
            <w:pPr>
              <w:jc w:val="left"/>
              <w:rPr>
                <w:sz w:val="18"/>
              </w:rPr>
            </w:pPr>
            <w:r w:rsidRPr="003A1C94">
              <w:rPr>
                <w:smallCaps/>
                <w:sz w:val="18"/>
              </w:rPr>
              <w:t xml:space="preserve">Tutorials. </w:t>
            </w:r>
            <w:r w:rsidRPr="003A1C94">
              <w:rPr>
                <w:sz w:val="18"/>
              </w:rPr>
              <w:t xml:space="preserve">Classical microbiology techniques applied to the study of food: sterility, isolation, counts, microscope observations, estimation of the most probable number, indole test, </w:t>
            </w:r>
            <w:r>
              <w:rPr>
                <w:sz w:val="18"/>
              </w:rPr>
              <w:t>g</w:t>
            </w:r>
            <w:r w:rsidRPr="003A1C94">
              <w:rPr>
                <w:sz w:val="18"/>
              </w:rPr>
              <w:t>ram staining</w:t>
            </w:r>
            <w:r>
              <w:rPr>
                <w:sz w:val="18"/>
              </w:rPr>
              <w:t>.</w:t>
            </w:r>
          </w:p>
        </w:tc>
        <w:tc>
          <w:tcPr>
            <w:tcW w:w="1144" w:type="dxa"/>
            <w:tcBorders>
              <w:top w:val="single" w:sz="4" w:space="0" w:color="auto"/>
              <w:left w:val="nil"/>
              <w:bottom w:val="single" w:sz="4" w:space="0" w:color="auto"/>
              <w:right w:val="nil"/>
            </w:tcBorders>
          </w:tcPr>
          <w:p w14:paraId="673E8505" w14:textId="77777777" w:rsidR="00AF1EF3" w:rsidRPr="003A1C94" w:rsidRDefault="003A1C94">
            <w:pPr>
              <w:jc w:val="left"/>
              <w:rPr>
                <w:sz w:val="18"/>
              </w:rPr>
            </w:pPr>
            <w:r w:rsidRPr="003A1C94">
              <w:rPr>
                <w:sz w:val="18"/>
              </w:rPr>
              <w:t>1.0</w:t>
            </w:r>
          </w:p>
        </w:tc>
      </w:tr>
    </w:tbl>
    <w:p w14:paraId="67561DBA" w14:textId="77777777" w:rsidR="00AF1EF3" w:rsidRPr="003A1C94" w:rsidRDefault="003A1C94">
      <w:pPr>
        <w:keepNext/>
        <w:spacing w:before="240" w:after="120"/>
        <w:jc w:val="left"/>
        <w:rPr>
          <w:b/>
          <w:i/>
          <w:sz w:val="18"/>
        </w:rPr>
      </w:pPr>
      <w:r w:rsidRPr="003A1C94">
        <w:rPr>
          <w:b/>
          <w:i/>
          <w:sz w:val="18"/>
        </w:rPr>
        <w:t>READING LIST</w:t>
      </w:r>
    </w:p>
    <w:p w14:paraId="6DBF5643" w14:textId="537E0592" w:rsidR="00AF1EF3" w:rsidRPr="003A1C94" w:rsidRDefault="003A1C94">
      <w:pPr>
        <w:pStyle w:val="Testo1"/>
        <w:spacing w:line="240" w:lineRule="atLeast"/>
        <w:rPr>
          <w:rFonts w:cstheme="minorHAnsi"/>
          <w:noProof w:val="0"/>
          <w:sz w:val="20"/>
        </w:rPr>
      </w:pPr>
      <w:r w:rsidRPr="003A1C94">
        <w:rPr>
          <w:rFonts w:cstheme="minorHAnsi"/>
          <w:smallCaps/>
          <w:noProof w:val="0"/>
          <w:sz w:val="20"/>
        </w:rPr>
        <w:t xml:space="preserve">M. Madigan-J.S </w:t>
      </w:r>
      <w:proofErr w:type="spellStart"/>
      <w:r w:rsidRPr="003A1C94">
        <w:rPr>
          <w:rFonts w:cstheme="minorHAnsi"/>
          <w:smallCaps/>
          <w:noProof w:val="0"/>
          <w:sz w:val="20"/>
        </w:rPr>
        <w:t>Martinko</w:t>
      </w:r>
      <w:proofErr w:type="spellEnd"/>
      <w:r w:rsidRPr="003A1C94">
        <w:rPr>
          <w:rFonts w:cstheme="minorHAnsi"/>
          <w:smallCaps/>
          <w:noProof w:val="0"/>
          <w:sz w:val="20"/>
        </w:rPr>
        <w:t xml:space="preserve">, K.S. Bender, D.H. Buckley, D.A. Stahl, </w:t>
      </w:r>
      <w:r w:rsidRPr="003A1C94">
        <w:rPr>
          <w:rFonts w:cstheme="minorHAnsi"/>
          <w:i/>
          <w:noProof w:val="0"/>
          <w:sz w:val="20"/>
        </w:rPr>
        <w:t xml:space="preserve">Brock </w:t>
      </w:r>
      <w:proofErr w:type="spellStart"/>
      <w:r w:rsidRPr="003A1C94">
        <w:rPr>
          <w:rFonts w:cstheme="minorHAnsi"/>
          <w:i/>
          <w:noProof w:val="0"/>
          <w:sz w:val="20"/>
        </w:rPr>
        <w:t>Biologia</w:t>
      </w:r>
      <w:proofErr w:type="spellEnd"/>
      <w:r w:rsidRPr="003A1C94">
        <w:rPr>
          <w:rFonts w:cstheme="minorHAnsi"/>
          <w:i/>
          <w:noProof w:val="0"/>
          <w:sz w:val="20"/>
        </w:rPr>
        <w:t xml:space="preserve"> </w:t>
      </w:r>
      <w:proofErr w:type="spellStart"/>
      <w:r w:rsidRPr="003A1C94">
        <w:rPr>
          <w:rFonts w:cstheme="minorHAnsi"/>
          <w:i/>
          <w:noProof w:val="0"/>
          <w:sz w:val="20"/>
        </w:rPr>
        <w:t>dei</w:t>
      </w:r>
      <w:proofErr w:type="spellEnd"/>
      <w:r w:rsidRPr="003A1C94">
        <w:rPr>
          <w:rFonts w:cstheme="minorHAnsi"/>
          <w:i/>
          <w:noProof w:val="0"/>
          <w:sz w:val="20"/>
        </w:rPr>
        <w:t xml:space="preserve"> </w:t>
      </w:r>
      <w:proofErr w:type="spellStart"/>
      <w:r w:rsidRPr="003A1C94">
        <w:rPr>
          <w:rFonts w:cstheme="minorHAnsi"/>
          <w:i/>
          <w:noProof w:val="0"/>
          <w:sz w:val="20"/>
        </w:rPr>
        <w:t>Microrganismi</w:t>
      </w:r>
      <w:proofErr w:type="spellEnd"/>
      <w:r w:rsidRPr="003A1C94">
        <w:rPr>
          <w:rFonts w:cstheme="minorHAnsi"/>
          <w:noProof w:val="0"/>
          <w:sz w:val="20"/>
          <w:vertAlign w:val="superscript"/>
        </w:rPr>
        <w:t>,</w:t>
      </w:r>
      <w:r w:rsidR="004E4836">
        <w:rPr>
          <w:rFonts w:cstheme="minorHAnsi"/>
          <w:noProof w:val="0"/>
          <w:sz w:val="20"/>
        </w:rPr>
        <w:t xml:space="preserve"> 16th edition, Pearson, 2022</w:t>
      </w:r>
      <w:bookmarkStart w:id="0" w:name="_GoBack"/>
      <w:bookmarkEnd w:id="0"/>
      <w:r w:rsidRPr="003A1C94">
        <w:rPr>
          <w:rFonts w:cstheme="minorHAnsi"/>
          <w:noProof w:val="0"/>
          <w:sz w:val="20"/>
        </w:rPr>
        <w:t>.</w:t>
      </w:r>
    </w:p>
    <w:p w14:paraId="605D458B" w14:textId="77777777" w:rsidR="00AF1EF3" w:rsidRPr="003A1C94" w:rsidRDefault="003A1C94">
      <w:pPr>
        <w:pStyle w:val="Testo1"/>
        <w:spacing w:line="240" w:lineRule="atLeast"/>
        <w:rPr>
          <w:rFonts w:cstheme="minorHAnsi"/>
          <w:noProof w:val="0"/>
          <w:sz w:val="20"/>
        </w:rPr>
      </w:pPr>
      <w:r w:rsidRPr="003A1C94">
        <w:rPr>
          <w:rFonts w:cstheme="minorHAnsi"/>
          <w:smallCaps/>
          <w:noProof w:val="0"/>
          <w:sz w:val="20"/>
        </w:rPr>
        <w:t xml:space="preserve">B. </w:t>
      </w:r>
      <w:proofErr w:type="spellStart"/>
      <w:r w:rsidRPr="003A1C94">
        <w:rPr>
          <w:rFonts w:cstheme="minorHAnsi"/>
          <w:smallCaps/>
          <w:noProof w:val="0"/>
          <w:sz w:val="20"/>
        </w:rPr>
        <w:t>Biavati</w:t>
      </w:r>
      <w:proofErr w:type="spellEnd"/>
      <w:r w:rsidRPr="003A1C94">
        <w:rPr>
          <w:rFonts w:cstheme="minorHAnsi"/>
          <w:smallCaps/>
          <w:noProof w:val="0"/>
          <w:sz w:val="20"/>
        </w:rPr>
        <w:t>-C. Sorlini,</w:t>
      </w:r>
      <w:r w:rsidRPr="003A1C94">
        <w:rPr>
          <w:rFonts w:cstheme="minorHAnsi"/>
          <w:i/>
          <w:noProof w:val="0"/>
          <w:sz w:val="20"/>
        </w:rPr>
        <w:t xml:space="preserve"> </w:t>
      </w:r>
      <w:proofErr w:type="spellStart"/>
      <w:r w:rsidRPr="003A1C94">
        <w:rPr>
          <w:rFonts w:cstheme="minorHAnsi"/>
          <w:i/>
          <w:noProof w:val="0"/>
          <w:sz w:val="20"/>
        </w:rPr>
        <w:t>Microbiologia</w:t>
      </w:r>
      <w:proofErr w:type="spellEnd"/>
      <w:r w:rsidRPr="003A1C94">
        <w:rPr>
          <w:rFonts w:cstheme="minorHAnsi"/>
          <w:i/>
          <w:noProof w:val="0"/>
          <w:sz w:val="20"/>
        </w:rPr>
        <w:t xml:space="preserve"> </w:t>
      </w:r>
      <w:proofErr w:type="spellStart"/>
      <w:r w:rsidRPr="003A1C94">
        <w:rPr>
          <w:rFonts w:cstheme="minorHAnsi"/>
          <w:i/>
          <w:noProof w:val="0"/>
          <w:sz w:val="20"/>
        </w:rPr>
        <w:t>generale</w:t>
      </w:r>
      <w:proofErr w:type="spellEnd"/>
      <w:r w:rsidRPr="003A1C94">
        <w:rPr>
          <w:rFonts w:cstheme="minorHAnsi"/>
          <w:i/>
          <w:noProof w:val="0"/>
          <w:sz w:val="20"/>
        </w:rPr>
        <w:t xml:space="preserve"> e </w:t>
      </w:r>
      <w:proofErr w:type="spellStart"/>
      <w:r w:rsidRPr="003A1C94">
        <w:rPr>
          <w:rFonts w:cstheme="minorHAnsi"/>
          <w:i/>
          <w:noProof w:val="0"/>
          <w:sz w:val="20"/>
        </w:rPr>
        <w:t>agraria</w:t>
      </w:r>
      <w:proofErr w:type="spellEnd"/>
      <w:r w:rsidRPr="003A1C94">
        <w:rPr>
          <w:rFonts w:cstheme="minorHAnsi"/>
          <w:i/>
          <w:noProof w:val="0"/>
          <w:sz w:val="20"/>
        </w:rPr>
        <w:t>,</w:t>
      </w:r>
      <w:r w:rsidRPr="003A1C94">
        <w:rPr>
          <w:rFonts w:cstheme="minorHAnsi"/>
          <w:noProof w:val="0"/>
          <w:sz w:val="20"/>
        </w:rPr>
        <w:t xml:space="preserve"> 2nd edition, Casa Editrice Ambrosiana, 2012.</w:t>
      </w:r>
      <w:r w:rsidRPr="003A1C94">
        <w:rPr>
          <w:noProof w:val="0"/>
        </w:rPr>
        <w:t xml:space="preserve"> </w:t>
      </w:r>
    </w:p>
    <w:p w14:paraId="7541D36A" w14:textId="77777777" w:rsidR="00AF1EF3" w:rsidRPr="003A1C94" w:rsidRDefault="003A1C94">
      <w:pPr>
        <w:spacing w:before="240" w:after="120" w:line="220" w:lineRule="exact"/>
        <w:jc w:val="left"/>
        <w:rPr>
          <w:b/>
          <w:i/>
          <w:sz w:val="18"/>
        </w:rPr>
      </w:pPr>
      <w:r w:rsidRPr="003A1C94">
        <w:rPr>
          <w:b/>
          <w:i/>
          <w:sz w:val="18"/>
        </w:rPr>
        <w:t>TEACHING METHOD</w:t>
      </w:r>
    </w:p>
    <w:p w14:paraId="79587540" w14:textId="77777777" w:rsidR="00AF1EF3" w:rsidRPr="003A1C94" w:rsidRDefault="003A1C94">
      <w:pPr>
        <w:spacing w:line="240" w:lineRule="auto"/>
        <w:jc w:val="left"/>
      </w:pPr>
      <w:r w:rsidRPr="003A1C94">
        <w:t>Frontal lectures during which the course topics will be presented and discussed; lectures will be held with the support of PowerPoint presentations, which will be provided to students on Blackboard at the end of each ECTS.</w:t>
      </w:r>
    </w:p>
    <w:p w14:paraId="5197203E" w14:textId="620D218A" w:rsidR="00AF1EF3" w:rsidRPr="003A1C94" w:rsidRDefault="003A1C94">
      <w:pPr>
        <w:spacing w:line="240" w:lineRule="auto"/>
        <w:jc w:val="left"/>
      </w:pPr>
      <w:r w:rsidRPr="003A1C94">
        <w:t xml:space="preserve">Laboratory tutorials in which students will carry out microbiological analyses on food (milk and yogurt) aimed at counting and isolating microorganisms of interest. An activity is also planned at the Faculty's electron microscopy centre. </w:t>
      </w:r>
    </w:p>
    <w:p w14:paraId="2DBCDE70" w14:textId="77777777" w:rsidR="00AF1EF3" w:rsidRPr="003A1C94" w:rsidRDefault="003A1C94">
      <w:pPr>
        <w:spacing w:before="240" w:after="120" w:line="220" w:lineRule="exact"/>
        <w:jc w:val="left"/>
        <w:rPr>
          <w:b/>
          <w:i/>
          <w:sz w:val="18"/>
        </w:rPr>
      </w:pPr>
      <w:r w:rsidRPr="003A1C94">
        <w:rPr>
          <w:b/>
          <w:i/>
          <w:sz w:val="18"/>
        </w:rPr>
        <w:t>ASSESSMENT METHOD AND CRITERIA</w:t>
      </w:r>
    </w:p>
    <w:p w14:paraId="41AE4874" w14:textId="7047E5C0" w:rsidR="00AF1EF3" w:rsidRPr="003A1C94" w:rsidRDefault="003A1C94">
      <w:pPr>
        <w:rPr>
          <w:sz w:val="18"/>
        </w:rPr>
      </w:pPr>
      <w:r w:rsidRPr="003A1C94">
        <w:rPr>
          <w:sz w:val="18"/>
        </w:rPr>
        <w:t>A final oral exam. In the middle of the course there is also an optional written test covering the first three course ECTS. This test consists of 18 multiple choice questions with a cross, and 6 open-ended questions; the mark for the written test will be out of thirty, with one mark given for each multiple-choice question and two marks for each open-ended question. Should a student pass the written test covering the first 3 ECTS, their mark will remain valid for one year. At the final oral exam, those students who passed the written test will be able to decide whether to keep the mark they obtained for the test, or be questioned on the entire course programme. In the former case, the lecturer will take the average of the written and oral marks.</w:t>
      </w:r>
    </w:p>
    <w:p w14:paraId="561E54D8" w14:textId="3E3E28CF" w:rsidR="00AF1EF3" w:rsidRPr="003A1C94" w:rsidRDefault="003A1C94">
      <w:pPr>
        <w:rPr>
          <w:sz w:val="18"/>
        </w:rPr>
      </w:pPr>
      <w:r w:rsidRPr="003A1C94">
        <w:rPr>
          <w:sz w:val="18"/>
        </w:rPr>
        <w:t xml:space="preserve">In assigning the score, the level of knowledge, understanding and connection skills acquired by the student will be assessed with reference to the topics covered. Students must demonstrate an ability to correctly use the language and scientific terminology of the discipline. The final mark will be based on the average of the marks obtained for each of the questions. </w:t>
      </w:r>
    </w:p>
    <w:p w14:paraId="64A9BFFA" w14:textId="77777777" w:rsidR="00AF1EF3" w:rsidRPr="003A1C94" w:rsidRDefault="00AF1EF3">
      <w:pPr>
        <w:pStyle w:val="Testo2"/>
        <w:jc w:val="left"/>
        <w:rPr>
          <w:b/>
          <w:i/>
          <w:noProof w:val="0"/>
        </w:rPr>
      </w:pPr>
    </w:p>
    <w:p w14:paraId="5F36CE08" w14:textId="77777777" w:rsidR="00AF1EF3" w:rsidRPr="003A1C94" w:rsidRDefault="00AF1EF3">
      <w:pPr>
        <w:pStyle w:val="Testo2"/>
        <w:jc w:val="left"/>
        <w:rPr>
          <w:b/>
          <w:i/>
          <w:noProof w:val="0"/>
        </w:rPr>
      </w:pPr>
    </w:p>
    <w:p w14:paraId="548AFE8B" w14:textId="77777777" w:rsidR="00AF1EF3" w:rsidRPr="003A1C94" w:rsidRDefault="003A1C94">
      <w:pPr>
        <w:pStyle w:val="Testo2"/>
        <w:ind w:firstLine="0"/>
        <w:jc w:val="left"/>
        <w:rPr>
          <w:noProof w:val="0"/>
        </w:rPr>
      </w:pPr>
      <w:r w:rsidRPr="003A1C94">
        <w:rPr>
          <w:b/>
          <w:i/>
          <w:noProof w:val="0"/>
        </w:rPr>
        <w:t>NOTES AND PREREQUISITES</w:t>
      </w:r>
      <w:r w:rsidRPr="003A1C94">
        <w:rPr>
          <w:noProof w:val="0"/>
        </w:rPr>
        <w:t xml:space="preserve"> </w:t>
      </w:r>
    </w:p>
    <w:p w14:paraId="7353FB13" w14:textId="0EE662EE" w:rsidR="00AF1EF3" w:rsidRPr="003A1C94" w:rsidRDefault="003A1C94">
      <w:pPr>
        <w:spacing w:line="276" w:lineRule="auto"/>
        <w:rPr>
          <w:sz w:val="18"/>
        </w:rPr>
      </w:pPr>
      <w:r w:rsidRPr="003A1C94">
        <w:rPr>
          <w:sz w:val="18"/>
        </w:rPr>
        <w:t>There are no prerequisites for attending the course, however, students are strongly recommended to acquire some prior knowledge of metabolisms and genetics, as covered in the previous semester's Biochemistry course.</w:t>
      </w:r>
    </w:p>
    <w:p w14:paraId="11D31818" w14:textId="77777777" w:rsidR="00AF1EF3" w:rsidRPr="003A1C94" w:rsidRDefault="003A1C94">
      <w:pPr>
        <w:spacing w:after="120" w:line="240" w:lineRule="auto"/>
        <w:rPr>
          <w:iCs/>
        </w:rPr>
      </w:pPr>
      <w:r w:rsidRPr="003A1C94">
        <w:rPr>
          <w:iCs/>
        </w:rPr>
        <w:t>Should the health situation relating to the Covid-19 pandemic not allow face-to-face teaching, remote teaching in synchronous or asynchronous mode will be guaranteed; this will be communicated in good time to students.</w:t>
      </w:r>
    </w:p>
    <w:p w14:paraId="376DFEC2" w14:textId="77777777" w:rsidR="00AF1EF3" w:rsidRPr="003A1C94" w:rsidRDefault="00AF1EF3">
      <w:pPr>
        <w:spacing w:line="276" w:lineRule="auto"/>
        <w:rPr>
          <w:sz w:val="18"/>
        </w:rPr>
      </w:pPr>
    </w:p>
    <w:p w14:paraId="77D40D46" w14:textId="77777777" w:rsidR="00AF1EF3" w:rsidRPr="003A1C94" w:rsidRDefault="00AF1EF3">
      <w:pPr>
        <w:spacing w:line="276" w:lineRule="auto"/>
        <w:rPr>
          <w:sz w:val="18"/>
        </w:rPr>
      </w:pPr>
    </w:p>
    <w:p w14:paraId="340E4601" w14:textId="77777777" w:rsidR="003A1C94" w:rsidRPr="003A1C94" w:rsidRDefault="003A1C94" w:rsidP="003A1C94">
      <w:pPr>
        <w:pStyle w:val="Testo2"/>
        <w:spacing w:before="120"/>
        <w:ind w:left="284" w:right="27" w:firstLine="0"/>
        <w:rPr>
          <w:noProof w:val="0"/>
          <w:color w:val="000000" w:themeColor="text1"/>
          <w:sz w:val="20"/>
        </w:rPr>
      </w:pPr>
      <w:r w:rsidRPr="003A1C94">
        <w:rPr>
          <w:noProof w:val="0"/>
          <w:color w:val="000000" w:themeColor="text1"/>
          <w:sz w:val="20"/>
        </w:rPr>
        <w:t xml:space="preserve">Information on office hours available on the teacher's personal page at </w:t>
      </w:r>
      <w:hyperlink r:id="rId5" w:history="1">
        <w:r w:rsidRPr="003A1C94">
          <w:rPr>
            <w:rStyle w:val="Collegamentoipertestuale"/>
            <w:noProof w:val="0"/>
            <w:sz w:val="20"/>
          </w:rPr>
          <w:t>http://docenti.unicatt.it/</w:t>
        </w:r>
      </w:hyperlink>
      <w:r w:rsidRPr="003A1C94">
        <w:rPr>
          <w:noProof w:val="0"/>
          <w:color w:val="000000" w:themeColor="text1"/>
          <w:sz w:val="20"/>
        </w:rPr>
        <w:t>.</w:t>
      </w:r>
    </w:p>
    <w:p w14:paraId="297BF9FE" w14:textId="77777777" w:rsidR="00AF1EF3" w:rsidRPr="003A1C94" w:rsidRDefault="00AF1EF3"/>
    <w:sectPr w:rsidR="00AF1EF3" w:rsidRPr="003A1C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3B78AC"/>
    <w:multiLevelType w:val="hybridMultilevel"/>
    <w:tmpl w:val="80DE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0D"/>
    <w:rsid w:val="000042A3"/>
    <w:rsid w:val="000126EC"/>
    <w:rsid w:val="00014CC5"/>
    <w:rsid w:val="00022A42"/>
    <w:rsid w:val="000430DF"/>
    <w:rsid w:val="0006508F"/>
    <w:rsid w:val="0007038C"/>
    <w:rsid w:val="00092F22"/>
    <w:rsid w:val="000A4A3A"/>
    <w:rsid w:val="000D695D"/>
    <w:rsid w:val="000E3932"/>
    <w:rsid w:val="00103B45"/>
    <w:rsid w:val="00106589"/>
    <w:rsid w:val="00117D48"/>
    <w:rsid w:val="00132A67"/>
    <w:rsid w:val="0015604C"/>
    <w:rsid w:val="00160209"/>
    <w:rsid w:val="0016462B"/>
    <w:rsid w:val="00177BAE"/>
    <w:rsid w:val="0019230D"/>
    <w:rsid w:val="001B4634"/>
    <w:rsid w:val="001B69D5"/>
    <w:rsid w:val="001B70B8"/>
    <w:rsid w:val="00211DA8"/>
    <w:rsid w:val="00211FAB"/>
    <w:rsid w:val="00214D65"/>
    <w:rsid w:val="00236999"/>
    <w:rsid w:val="0024097F"/>
    <w:rsid w:val="0025663D"/>
    <w:rsid w:val="00257B15"/>
    <w:rsid w:val="00266272"/>
    <w:rsid w:val="002B6FC2"/>
    <w:rsid w:val="002C642A"/>
    <w:rsid w:val="002E1362"/>
    <w:rsid w:val="002E3696"/>
    <w:rsid w:val="002E5C37"/>
    <w:rsid w:val="002F2F62"/>
    <w:rsid w:val="002F3894"/>
    <w:rsid w:val="003430B9"/>
    <w:rsid w:val="00356B76"/>
    <w:rsid w:val="003628E3"/>
    <w:rsid w:val="00371A59"/>
    <w:rsid w:val="00375715"/>
    <w:rsid w:val="003922DA"/>
    <w:rsid w:val="003A1C94"/>
    <w:rsid w:val="003A6089"/>
    <w:rsid w:val="003A6DF0"/>
    <w:rsid w:val="003A6DFA"/>
    <w:rsid w:val="003C044B"/>
    <w:rsid w:val="003C28A6"/>
    <w:rsid w:val="003D19C1"/>
    <w:rsid w:val="003E0D75"/>
    <w:rsid w:val="003F3AC3"/>
    <w:rsid w:val="004068B3"/>
    <w:rsid w:val="0041570B"/>
    <w:rsid w:val="0043612B"/>
    <w:rsid w:val="00444C9C"/>
    <w:rsid w:val="004523A6"/>
    <w:rsid w:val="00456D98"/>
    <w:rsid w:val="0047221B"/>
    <w:rsid w:val="004C1160"/>
    <w:rsid w:val="004C4FA0"/>
    <w:rsid w:val="004D0AD5"/>
    <w:rsid w:val="004E4836"/>
    <w:rsid w:val="004F22F6"/>
    <w:rsid w:val="004F78F4"/>
    <w:rsid w:val="00503101"/>
    <w:rsid w:val="005078E9"/>
    <w:rsid w:val="0051579E"/>
    <w:rsid w:val="0052797E"/>
    <w:rsid w:val="00532682"/>
    <w:rsid w:val="00546614"/>
    <w:rsid w:val="00550CD8"/>
    <w:rsid w:val="005525BF"/>
    <w:rsid w:val="00565F68"/>
    <w:rsid w:val="0057061C"/>
    <w:rsid w:val="00594423"/>
    <w:rsid w:val="005A2C25"/>
    <w:rsid w:val="005A7ADB"/>
    <w:rsid w:val="005B364D"/>
    <w:rsid w:val="005E27C1"/>
    <w:rsid w:val="006013B3"/>
    <w:rsid w:val="006060EE"/>
    <w:rsid w:val="0062465E"/>
    <w:rsid w:val="00642EBD"/>
    <w:rsid w:val="00643D6F"/>
    <w:rsid w:val="00645B43"/>
    <w:rsid w:val="00652C11"/>
    <w:rsid w:val="00666B41"/>
    <w:rsid w:val="00673FDC"/>
    <w:rsid w:val="00676D60"/>
    <w:rsid w:val="006802B2"/>
    <w:rsid w:val="006C1287"/>
    <w:rsid w:val="006C4221"/>
    <w:rsid w:val="006E07BA"/>
    <w:rsid w:val="0071366F"/>
    <w:rsid w:val="00733A45"/>
    <w:rsid w:val="00744CB9"/>
    <w:rsid w:val="0076007A"/>
    <w:rsid w:val="0076365C"/>
    <w:rsid w:val="007A00D2"/>
    <w:rsid w:val="007B0F4D"/>
    <w:rsid w:val="007B4A1C"/>
    <w:rsid w:val="007C7356"/>
    <w:rsid w:val="00803AD4"/>
    <w:rsid w:val="00814FCD"/>
    <w:rsid w:val="00821320"/>
    <w:rsid w:val="008434E6"/>
    <w:rsid w:val="0084714C"/>
    <w:rsid w:val="00854E34"/>
    <w:rsid w:val="0087281A"/>
    <w:rsid w:val="00877E68"/>
    <w:rsid w:val="008A08F5"/>
    <w:rsid w:val="008A2205"/>
    <w:rsid w:val="008B4B13"/>
    <w:rsid w:val="008E1AEC"/>
    <w:rsid w:val="008E3058"/>
    <w:rsid w:val="008F13D7"/>
    <w:rsid w:val="00953202"/>
    <w:rsid w:val="009613B2"/>
    <w:rsid w:val="0097541D"/>
    <w:rsid w:val="00984E17"/>
    <w:rsid w:val="00996332"/>
    <w:rsid w:val="00A35F61"/>
    <w:rsid w:val="00A4392D"/>
    <w:rsid w:val="00A72240"/>
    <w:rsid w:val="00A72E63"/>
    <w:rsid w:val="00A82232"/>
    <w:rsid w:val="00A91E76"/>
    <w:rsid w:val="00AA1E29"/>
    <w:rsid w:val="00AA6FA5"/>
    <w:rsid w:val="00AB21F7"/>
    <w:rsid w:val="00AD41FE"/>
    <w:rsid w:val="00AF1EF3"/>
    <w:rsid w:val="00B01C05"/>
    <w:rsid w:val="00B203CA"/>
    <w:rsid w:val="00B30E28"/>
    <w:rsid w:val="00B445D7"/>
    <w:rsid w:val="00B60F97"/>
    <w:rsid w:val="00B70F8A"/>
    <w:rsid w:val="00B83BC2"/>
    <w:rsid w:val="00B90C31"/>
    <w:rsid w:val="00B94519"/>
    <w:rsid w:val="00BE1F90"/>
    <w:rsid w:val="00BE4D4E"/>
    <w:rsid w:val="00BE6BBB"/>
    <w:rsid w:val="00BF3574"/>
    <w:rsid w:val="00C03DD4"/>
    <w:rsid w:val="00C05F65"/>
    <w:rsid w:val="00C07CCE"/>
    <w:rsid w:val="00C13B5C"/>
    <w:rsid w:val="00C3007D"/>
    <w:rsid w:val="00C30537"/>
    <w:rsid w:val="00C333D9"/>
    <w:rsid w:val="00C43A5E"/>
    <w:rsid w:val="00C44A5C"/>
    <w:rsid w:val="00C67854"/>
    <w:rsid w:val="00C94B4D"/>
    <w:rsid w:val="00CA194A"/>
    <w:rsid w:val="00CA4DF0"/>
    <w:rsid w:val="00CA63F7"/>
    <w:rsid w:val="00CB5FFC"/>
    <w:rsid w:val="00CC272A"/>
    <w:rsid w:val="00CD4F43"/>
    <w:rsid w:val="00CF08C1"/>
    <w:rsid w:val="00CF126D"/>
    <w:rsid w:val="00D12B71"/>
    <w:rsid w:val="00D13E6C"/>
    <w:rsid w:val="00D21CA8"/>
    <w:rsid w:val="00D47732"/>
    <w:rsid w:val="00D67781"/>
    <w:rsid w:val="00D72E97"/>
    <w:rsid w:val="00D92D13"/>
    <w:rsid w:val="00DA1044"/>
    <w:rsid w:val="00DA6FC0"/>
    <w:rsid w:val="00DB6AE4"/>
    <w:rsid w:val="00DC4872"/>
    <w:rsid w:val="00DD1EE1"/>
    <w:rsid w:val="00DD5E44"/>
    <w:rsid w:val="00DE1F9F"/>
    <w:rsid w:val="00E33E4A"/>
    <w:rsid w:val="00E511FE"/>
    <w:rsid w:val="00E821A7"/>
    <w:rsid w:val="00EC0CFA"/>
    <w:rsid w:val="00ED66AC"/>
    <w:rsid w:val="00F03718"/>
    <w:rsid w:val="00F052E0"/>
    <w:rsid w:val="00F629BA"/>
    <w:rsid w:val="00F84DF3"/>
    <w:rsid w:val="00F86FFD"/>
    <w:rsid w:val="00F90DA4"/>
    <w:rsid w:val="00FA4C95"/>
    <w:rsid w:val="00FB36CD"/>
    <w:rsid w:val="00FB488E"/>
    <w:rsid w:val="00FC0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B91"/>
  <w14:defaultImageDpi w14:val="32767"/>
  <w15:chartTrackingRefBased/>
  <w15:docId w15:val="{0D46DD3F-C23F-694C-8A96-2A6A5AB3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230D"/>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9230D"/>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9230D"/>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923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230D"/>
    <w:rPr>
      <w:rFonts w:ascii="Times" w:eastAsia="Times New Roman" w:hAnsi="Times" w:cs="Times New Roman"/>
      <w:b/>
      <w:noProof/>
      <w:sz w:val="20"/>
      <w:szCs w:val="20"/>
      <w:lang w:val="en-GB" w:eastAsia="it-IT"/>
    </w:rPr>
  </w:style>
  <w:style w:type="character" w:customStyle="1" w:styleId="Titolo2Carattere">
    <w:name w:val="Titolo 2 Carattere"/>
    <w:basedOn w:val="Carpredefinitoparagrafo"/>
    <w:link w:val="Titolo2"/>
    <w:rsid w:val="0019230D"/>
    <w:rPr>
      <w:rFonts w:ascii="Times" w:eastAsia="Times New Roman" w:hAnsi="Times" w:cs="Times New Roman"/>
      <w:smallCaps/>
      <w:noProof/>
      <w:sz w:val="18"/>
      <w:szCs w:val="20"/>
      <w:lang w:val="en-GB" w:eastAsia="it-IT"/>
    </w:rPr>
  </w:style>
  <w:style w:type="paragraph" w:customStyle="1" w:styleId="Testo2">
    <w:name w:val="Testo 2"/>
    <w:qFormat/>
    <w:rsid w:val="0019230D"/>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19230D"/>
    <w:pPr>
      <w:ind w:left="720"/>
      <w:contextualSpacing/>
    </w:pPr>
  </w:style>
  <w:style w:type="character" w:customStyle="1" w:styleId="Titolo3Carattere">
    <w:name w:val="Titolo 3 Carattere"/>
    <w:basedOn w:val="Carpredefinitoparagrafo"/>
    <w:link w:val="Titolo3"/>
    <w:uiPriority w:val="9"/>
    <w:semiHidden/>
    <w:rsid w:val="0019230D"/>
    <w:rPr>
      <w:rFonts w:asciiTheme="majorHAnsi" w:eastAsiaTheme="majorEastAsia" w:hAnsiTheme="majorHAnsi" w:cstheme="majorBidi"/>
      <w:color w:val="1F3763" w:themeColor="accent1" w:themeShade="7F"/>
      <w:lang w:val="en-GB" w:eastAsia="it-IT"/>
    </w:rPr>
  </w:style>
  <w:style w:type="paragraph" w:customStyle="1" w:styleId="Testo1">
    <w:name w:val="Testo 1"/>
    <w:rsid w:val="003A6DF0"/>
    <w:pPr>
      <w:spacing w:line="220" w:lineRule="exact"/>
      <w:ind w:left="284" w:hanging="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3A1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Puglisi Edoardo</dc:creator>
  <cp:keywords/>
  <dc:description/>
  <cp:lastModifiedBy>Barbieri Elisa</cp:lastModifiedBy>
  <cp:revision>2</cp:revision>
  <dcterms:created xsi:type="dcterms:W3CDTF">2022-06-13T14:00:00Z</dcterms:created>
  <dcterms:modified xsi:type="dcterms:W3CDTF">2022-06-13T14:00:00Z</dcterms:modified>
</cp:coreProperties>
</file>