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4320D" w14:textId="77777777" w:rsidR="005E3B19" w:rsidRPr="009D19BD" w:rsidRDefault="005E3B19" w:rsidP="005E3B19">
      <w:pPr>
        <w:pStyle w:val="Titolo1"/>
      </w:pPr>
      <w:r w:rsidRPr="009D19BD">
        <w:t>Storia del diritto medievale e moderno</w:t>
      </w:r>
    </w:p>
    <w:p w14:paraId="1A14320E" w14:textId="77777777" w:rsidR="005E3B19" w:rsidRDefault="005E3B19" w:rsidP="005E3B19">
      <w:pPr>
        <w:pStyle w:val="Titolo2"/>
      </w:pPr>
      <w:r w:rsidRPr="0056582F">
        <w:t xml:space="preserve">Prof. </w:t>
      </w:r>
      <w:r w:rsidR="000353A2">
        <w:t>Saverio Gentile</w:t>
      </w:r>
    </w:p>
    <w:p w14:paraId="1A14320F" w14:textId="77777777" w:rsidR="007B5408" w:rsidRPr="009D19BD" w:rsidRDefault="007B5408" w:rsidP="007B5408">
      <w:pPr>
        <w:spacing w:before="240" w:after="120"/>
        <w:rPr>
          <w:b/>
          <w:sz w:val="18"/>
        </w:rPr>
      </w:pPr>
      <w:r w:rsidRPr="009D19BD">
        <w:rPr>
          <w:b/>
          <w:i/>
          <w:sz w:val="18"/>
        </w:rPr>
        <w:t>OBIETTIV</w:t>
      </w:r>
      <w:r w:rsidRPr="005C0237">
        <w:rPr>
          <w:b/>
          <w:i/>
          <w:sz w:val="18"/>
        </w:rPr>
        <w:t>I</w:t>
      </w:r>
      <w:r w:rsidRPr="009D19BD">
        <w:rPr>
          <w:b/>
          <w:i/>
          <w:sz w:val="18"/>
        </w:rPr>
        <w:t xml:space="preserve"> DEL CORSO E RISULTATI DI APPRENDIMENTO ATTESI</w:t>
      </w:r>
    </w:p>
    <w:p w14:paraId="1A143210" w14:textId="77777777" w:rsidR="007B5408" w:rsidRPr="001B59EA" w:rsidRDefault="007B5408" w:rsidP="007B5408">
      <w:pPr>
        <w:rPr>
          <w:szCs w:val="20"/>
        </w:rPr>
      </w:pPr>
      <w:r w:rsidRPr="005C0237">
        <w:rPr>
          <w:szCs w:val="20"/>
        </w:rPr>
        <w:t xml:space="preserve">Il Corso è orientato a fornire la conoscenza delle fonti e delle linee essenziali dello sviluppo storico </w:t>
      </w:r>
      <w:r w:rsidRPr="001B59EA">
        <w:rPr>
          <w:szCs w:val="20"/>
        </w:rPr>
        <w:t xml:space="preserve">del sistema giuridico italiano ed europeo, e a garantire una più chiara nozione dell’evoluzione delle tecniche e degli strumenti interpretativi a disposizione del giurista di professione. Al termine delle lezioni, lo studente sarà in grado di risalire, attraverso l’analisi in chiave storica, all’origine e alla </w:t>
      </w:r>
      <w:r w:rsidRPr="001B59EA">
        <w:rPr>
          <w:i/>
          <w:iCs/>
          <w:szCs w:val="20"/>
        </w:rPr>
        <w:t>ratio</w:t>
      </w:r>
      <w:r w:rsidRPr="001B59EA">
        <w:rPr>
          <w:szCs w:val="20"/>
        </w:rPr>
        <w:t xml:space="preserve"> dei principali istituti giuridici, ricostruendo i loro processi di formazione ed avrà acquisito una più esatta consapevolezza delle tecniche dell’interpretazione giuridica e delle opzioni di politica del diritto sottese alle scelte operate, in ogni epoca, dai giuristi. Sarà quindi in grado di affrontare più consapevolmente la preparazione nelle materie di diritto positivo e vigente e di avere una diretta e concreta conoscenza dell’attività di interpretazione/applicazione normativa che sarà chiamato a svolgere nell’ambito del proprio ruolo professionale.</w:t>
      </w:r>
    </w:p>
    <w:p w14:paraId="1A143211" w14:textId="77777777" w:rsidR="007B5408" w:rsidRPr="009D19BD" w:rsidRDefault="007B5408" w:rsidP="007B5408">
      <w:pPr>
        <w:spacing w:before="240" w:after="120"/>
        <w:rPr>
          <w:b/>
          <w:sz w:val="18"/>
        </w:rPr>
      </w:pPr>
      <w:r w:rsidRPr="001B59EA">
        <w:rPr>
          <w:b/>
          <w:i/>
          <w:sz w:val="18"/>
        </w:rPr>
        <w:t>PROGRAMMA DEL CORSO</w:t>
      </w:r>
    </w:p>
    <w:p w14:paraId="1A143212" w14:textId="77777777" w:rsidR="007B5408" w:rsidRPr="009D19BD" w:rsidRDefault="007B5408" w:rsidP="007B5408">
      <w:pPr>
        <w:pStyle w:val="Indice6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9D19BD">
        <w:rPr>
          <w:rFonts w:ascii="Times New Roman" w:hAnsi="Times New Roman"/>
        </w:rPr>
        <w:t>La problematica della giustizia nella storia della cultura giuridica occidentale.</w:t>
      </w:r>
    </w:p>
    <w:p w14:paraId="1A143213" w14:textId="77777777" w:rsidR="007B5408" w:rsidRPr="009D19BD" w:rsidRDefault="007B5408" w:rsidP="007B5408">
      <w:pPr>
        <w:pStyle w:val="Indice6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9D19BD">
        <w:rPr>
          <w:rFonts w:ascii="Times New Roman" w:hAnsi="Times New Roman"/>
        </w:rPr>
        <w:t>Diritto e valori nella formazione tecnico-professionale del giurista contemporaneo.</w:t>
      </w:r>
    </w:p>
    <w:p w14:paraId="1A143214" w14:textId="77777777" w:rsidR="007B5408" w:rsidRPr="009D19BD" w:rsidRDefault="007B5408" w:rsidP="007B5408">
      <w:pPr>
        <w:pStyle w:val="Indice6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9D19BD">
        <w:rPr>
          <w:rFonts w:ascii="Times New Roman" w:hAnsi="Times New Roman"/>
        </w:rPr>
        <w:t>Nascita e sviluppi della scienza giuridica continentale.</w:t>
      </w:r>
    </w:p>
    <w:p w14:paraId="1A143215" w14:textId="77777777" w:rsidR="007B5408" w:rsidRPr="00A46F3B" w:rsidRDefault="007B5408" w:rsidP="007B5408">
      <w:pPr>
        <w:pStyle w:val="Indice6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1B59EA">
        <w:rPr>
          <w:rFonts w:ascii="Times New Roman" w:hAnsi="Times New Roman"/>
        </w:rPr>
        <w:t xml:space="preserve">Dal </w:t>
      </w:r>
      <w:r w:rsidRPr="001B59EA">
        <w:rPr>
          <w:rFonts w:ascii="Times New Roman" w:hAnsi="Times New Roman"/>
          <w:i/>
        </w:rPr>
        <w:t>rinascimento giuridico</w:t>
      </w:r>
      <w:r w:rsidRPr="001B59EA">
        <w:rPr>
          <w:rFonts w:ascii="Times New Roman" w:hAnsi="Times New Roman"/>
        </w:rPr>
        <w:t xml:space="preserve"> al tramonto del diritto comune: dall’</w:t>
      </w:r>
      <w:proofErr w:type="spellStart"/>
      <w:r w:rsidRPr="001B59EA">
        <w:rPr>
          <w:rFonts w:ascii="Times New Roman" w:hAnsi="Times New Roman"/>
          <w:i/>
          <w:iCs/>
        </w:rPr>
        <w:t>interpretatio</w:t>
      </w:r>
      <w:proofErr w:type="spellEnd"/>
      <w:r w:rsidRPr="001B59EA">
        <w:rPr>
          <w:rFonts w:ascii="Times New Roman" w:hAnsi="Times New Roman"/>
        </w:rPr>
        <w:t xml:space="preserve"> </w:t>
      </w:r>
      <w:r w:rsidRPr="00A46F3B">
        <w:rPr>
          <w:rFonts w:ascii="Times New Roman" w:hAnsi="Times New Roman"/>
        </w:rPr>
        <w:t>medievale alle tecniche interpretative d’età moderna.</w:t>
      </w:r>
    </w:p>
    <w:p w14:paraId="1A143216" w14:textId="77777777" w:rsidR="00A67F0C" w:rsidRPr="00A46F3B" w:rsidRDefault="007B5408" w:rsidP="00012638">
      <w:pPr>
        <w:pStyle w:val="Indice6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A46F3B">
        <w:rPr>
          <w:rFonts w:ascii="Times New Roman" w:hAnsi="Times New Roman"/>
        </w:rPr>
        <w:t>Le dottrine del Razionalismo giuridico continentale e la loro influenza nel processo di codificazione.</w:t>
      </w:r>
    </w:p>
    <w:p w14:paraId="1A143217" w14:textId="77777777" w:rsidR="000353A2" w:rsidRPr="00606A1F" w:rsidRDefault="007B5408" w:rsidP="0074703D">
      <w:pPr>
        <w:pStyle w:val="Indice6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606A1F">
        <w:rPr>
          <w:rFonts w:ascii="Times New Roman" w:hAnsi="Times New Roman"/>
        </w:rPr>
        <w:t xml:space="preserve">Le origini e lo sviluppo della </w:t>
      </w:r>
      <w:r w:rsidRPr="00606A1F">
        <w:rPr>
          <w:rFonts w:ascii="Times New Roman" w:hAnsi="Times New Roman"/>
          <w:i/>
        </w:rPr>
        <w:t>common law</w:t>
      </w:r>
      <w:r w:rsidRPr="00606A1F">
        <w:rPr>
          <w:rFonts w:ascii="Times New Roman" w:hAnsi="Times New Roman"/>
        </w:rPr>
        <w:t>.</w:t>
      </w:r>
    </w:p>
    <w:p w14:paraId="1A143218" w14:textId="77777777" w:rsidR="000353A2" w:rsidRPr="001B59EA" w:rsidRDefault="000353A2" w:rsidP="000353A2">
      <w:pPr>
        <w:pStyle w:val="Indice6"/>
        <w:rPr>
          <w:rFonts w:ascii="Times New Roman" w:hAnsi="Times New Roman"/>
        </w:rPr>
      </w:pPr>
    </w:p>
    <w:p w14:paraId="1A143219" w14:textId="24EF96BA" w:rsidR="007B5408" w:rsidRPr="009D19BD" w:rsidRDefault="007B5408" w:rsidP="007B5408">
      <w:pPr>
        <w:keepNext/>
        <w:spacing w:before="240" w:after="120"/>
        <w:rPr>
          <w:b/>
          <w:sz w:val="18"/>
        </w:rPr>
      </w:pPr>
      <w:r w:rsidRPr="001B59EA">
        <w:rPr>
          <w:b/>
          <w:i/>
          <w:sz w:val="18"/>
        </w:rPr>
        <w:t>BIBLIOGRAFIA</w:t>
      </w:r>
      <w:r w:rsidR="009C025B">
        <w:rPr>
          <w:rStyle w:val="Rimandonotaapidipagina"/>
          <w:b/>
          <w:i/>
          <w:sz w:val="18"/>
        </w:rPr>
        <w:footnoteReference w:id="1"/>
      </w:r>
    </w:p>
    <w:p w14:paraId="1A14321A" w14:textId="07CE989C" w:rsidR="007B5408" w:rsidRPr="009D19BD" w:rsidRDefault="007B5408" w:rsidP="007B5408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</w:rPr>
      </w:pPr>
      <w:r w:rsidRPr="009D19BD">
        <w:rPr>
          <w:rFonts w:ascii="Times" w:hAnsi="Times"/>
          <w:smallCaps/>
          <w:noProof/>
          <w:spacing w:val="-5"/>
          <w:sz w:val="16"/>
        </w:rPr>
        <w:t>AA.VV.,</w:t>
      </w:r>
      <w:r w:rsidRPr="009D19BD">
        <w:rPr>
          <w:rFonts w:ascii="Times" w:hAnsi="Times"/>
          <w:i/>
          <w:noProof/>
          <w:spacing w:val="-5"/>
          <w:sz w:val="18"/>
        </w:rPr>
        <w:t xml:space="preserve"> Tempi del diritto,</w:t>
      </w:r>
      <w:r w:rsidRPr="009D19BD">
        <w:rPr>
          <w:rFonts w:ascii="Times" w:hAnsi="Times"/>
          <w:noProof/>
          <w:spacing w:val="-5"/>
          <w:sz w:val="18"/>
        </w:rPr>
        <w:t xml:space="preserve"> Giappichelli, Torino, 2016 (pp. 1-199). </w:t>
      </w:r>
      <w:r w:rsidR="009C025B">
        <w:rPr>
          <w:rFonts w:ascii="Times" w:hAnsi="Times"/>
          <w:noProof/>
          <w:spacing w:val="-5"/>
          <w:sz w:val="18"/>
        </w:rPr>
        <w:t xml:space="preserve"> </w:t>
      </w:r>
      <w:hyperlink r:id="rId12" w:history="1">
        <w:r w:rsidR="009C025B" w:rsidRPr="009C025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A14321B" w14:textId="070B8DEC" w:rsidR="007B5408" w:rsidRPr="000353A2" w:rsidRDefault="007B5408" w:rsidP="000353A2">
      <w:pPr>
        <w:pStyle w:val="Paragrafoelenco"/>
        <w:numPr>
          <w:ilvl w:val="0"/>
          <w:numId w:val="2"/>
        </w:numPr>
        <w:spacing w:line="240" w:lineRule="atLeast"/>
        <w:rPr>
          <w:rFonts w:ascii="Times" w:hAnsi="Times"/>
          <w:noProof/>
          <w:spacing w:val="-5"/>
          <w:sz w:val="18"/>
        </w:rPr>
      </w:pPr>
      <w:r w:rsidRPr="000353A2">
        <w:rPr>
          <w:rFonts w:ascii="Times" w:hAnsi="Times"/>
          <w:smallCaps/>
          <w:noProof/>
          <w:spacing w:val="-5"/>
          <w:sz w:val="16"/>
        </w:rPr>
        <w:t>Cavanna,</w:t>
      </w:r>
      <w:r w:rsidRPr="000353A2">
        <w:rPr>
          <w:rFonts w:ascii="Times" w:hAnsi="Times"/>
          <w:i/>
          <w:noProof/>
          <w:spacing w:val="-5"/>
          <w:sz w:val="18"/>
        </w:rPr>
        <w:t xml:space="preserve"> Storia del diritto moderno in Europa. Le fonti e il pensiero giuridico I,</w:t>
      </w:r>
      <w:r w:rsidRPr="000353A2">
        <w:rPr>
          <w:rFonts w:ascii="Times" w:hAnsi="Times"/>
          <w:noProof/>
          <w:spacing w:val="-5"/>
          <w:sz w:val="18"/>
        </w:rPr>
        <w:t xml:space="preserve"> Giuffrè, Milano 1990 (ristampa inalterata limitatamente alle pagine seguenti: 190-390; 479-610).</w:t>
      </w:r>
      <w:r w:rsidR="009C025B">
        <w:rPr>
          <w:rFonts w:ascii="Times" w:hAnsi="Times"/>
          <w:noProof/>
          <w:spacing w:val="-5"/>
          <w:sz w:val="18"/>
        </w:rPr>
        <w:t xml:space="preserve"> </w:t>
      </w:r>
      <w:hyperlink r:id="rId13" w:history="1">
        <w:r w:rsidR="009C025B" w:rsidRPr="009C025B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A14321C" w14:textId="77777777" w:rsidR="000353A2" w:rsidRDefault="000353A2" w:rsidP="000353A2">
      <w:pPr>
        <w:pStyle w:val="Testo1"/>
        <w:ind w:left="360" w:firstLine="0"/>
      </w:pPr>
    </w:p>
    <w:p w14:paraId="1A14321D" w14:textId="77777777" w:rsidR="00065400" w:rsidRDefault="000353A2" w:rsidP="00065400">
      <w:pPr>
        <w:pStyle w:val="Testo1"/>
        <w:ind w:left="360" w:firstLine="0"/>
      </w:pPr>
      <w:r w:rsidRPr="00CA32D7">
        <w:t>Per gli studenti frequentanti:</w:t>
      </w:r>
      <w:r w:rsidR="00065400">
        <w:t>Appunti risultanti dalle lezioni e ulteriori indicazioni bibliografiche fornite dal docente.</w:t>
      </w:r>
    </w:p>
    <w:p w14:paraId="1A143220" w14:textId="77777777" w:rsidR="007B5408" w:rsidRPr="009D19BD" w:rsidRDefault="007B5408" w:rsidP="007B5408">
      <w:pPr>
        <w:spacing w:before="240" w:after="120" w:line="220" w:lineRule="exact"/>
        <w:rPr>
          <w:b/>
          <w:i/>
          <w:sz w:val="18"/>
        </w:rPr>
      </w:pPr>
      <w:r w:rsidRPr="009D19BD">
        <w:rPr>
          <w:b/>
          <w:i/>
          <w:sz w:val="18"/>
        </w:rPr>
        <w:t>DIDATTICA DEL CORSO</w:t>
      </w:r>
    </w:p>
    <w:p w14:paraId="1A143221" w14:textId="77777777" w:rsidR="007B5408" w:rsidRPr="009D19BD" w:rsidRDefault="007B5408" w:rsidP="007B5408">
      <w:pPr>
        <w:pStyle w:val="Testo2"/>
      </w:pPr>
      <w:r w:rsidRPr="009D19BD">
        <w:t>Lezioni in aula.</w:t>
      </w:r>
    </w:p>
    <w:p w14:paraId="1A143222" w14:textId="77777777" w:rsidR="007B5408" w:rsidRPr="009D19BD" w:rsidRDefault="007B5408" w:rsidP="007B5408">
      <w:pPr>
        <w:spacing w:before="240" w:after="120" w:line="220" w:lineRule="exact"/>
        <w:rPr>
          <w:b/>
          <w:i/>
          <w:sz w:val="18"/>
        </w:rPr>
      </w:pPr>
      <w:r w:rsidRPr="009D19BD">
        <w:rPr>
          <w:b/>
          <w:i/>
          <w:sz w:val="18"/>
        </w:rPr>
        <w:t>METODO E CRITERI DI VALUTAZIONE</w:t>
      </w:r>
    </w:p>
    <w:p w14:paraId="1A143223" w14:textId="77777777" w:rsidR="007B5408" w:rsidRDefault="007B5408" w:rsidP="007B5408">
      <w:pPr>
        <w:pStyle w:val="Testo2"/>
      </w:pPr>
      <w:r w:rsidRPr="009D19BD">
        <w:t>L’esame</w:t>
      </w:r>
      <w:r>
        <w:t xml:space="preserve">, che ha lo scopo di </w:t>
      </w:r>
      <w:r w:rsidRPr="009D19BD">
        <w:t>verificare il possesso, da parte dello studente, dei contenuti del Corso, la sua capacità di individuare i nessi concettuali fra le diverse parti di esso, nonché la sua attitudine ad una esposizione coerente, argomentata e condotta con terminologia appropriata</w:t>
      </w:r>
      <w:r>
        <w:t>,</w:t>
      </w:r>
      <w:r w:rsidRPr="009D19BD">
        <w:t xml:space="preserve"> si svolgerà con modalità differenti per gli studenti frequentanti e non frequentanti.</w:t>
      </w:r>
    </w:p>
    <w:p w14:paraId="1A143224" w14:textId="77777777" w:rsidR="007B5408" w:rsidRPr="009D19BD" w:rsidRDefault="007B5408" w:rsidP="007B5408">
      <w:pPr>
        <w:pStyle w:val="Testo2"/>
      </w:pPr>
    </w:p>
    <w:p w14:paraId="1A143225" w14:textId="77777777" w:rsidR="007B5408" w:rsidRPr="009D19BD" w:rsidRDefault="007B5408" w:rsidP="007B5408">
      <w:pPr>
        <w:pStyle w:val="Testo2"/>
        <w:spacing w:after="120"/>
      </w:pPr>
      <w:r w:rsidRPr="009D19BD">
        <w:t xml:space="preserve">Gli </w:t>
      </w:r>
      <w:r w:rsidRPr="00771A4B">
        <w:rPr>
          <w:u w:val="single"/>
        </w:rPr>
        <w:t>studenti frequentanti</w:t>
      </w:r>
      <w:r w:rsidRPr="009D19BD">
        <w:t xml:space="preserve"> sosterranno l’esame sul programma risultante dagli appunti raccolti a lezione, nonché sulla bibliografia indicata dal docente durante lo svolgimento del Corso.</w:t>
      </w:r>
      <w:r w:rsidRPr="004D610E">
        <w:t xml:space="preserve"> </w:t>
      </w:r>
      <w:r>
        <w:t xml:space="preserve">Essi </w:t>
      </w:r>
      <w:r w:rsidRPr="00BD2E0C">
        <w:t xml:space="preserve">sosterranno </w:t>
      </w:r>
      <w:r>
        <w:t xml:space="preserve">inoltre </w:t>
      </w:r>
      <w:r w:rsidRPr="00BD2E0C">
        <w:t xml:space="preserve">una prova intermedia scritta volta a verificare il grado di apprendimento raggiunto dopo la partecipazione a circa metà delle lezioni dell’anno </w:t>
      </w:r>
      <w:r>
        <w:t>accademico</w:t>
      </w:r>
      <w:r w:rsidRPr="00BD2E0C">
        <w:t>. Il superamento della prova intermedia, entro un anno dal suo svolgimento, esonera lo studente dal preparare la parte corrispondente  di programma per l’esame finale. Questo si svolgerà in forma orale e comporterà l’attribuzione di un punteggio, che, espresso in trentesimi, farà media con il voto conseguito nella prova intermedia. Lo studente che non intenda avvalersi del voto conseguito nella prova intermedia e del correlativo esonero parziale potrà tuttavia sostenere l’esame orale finale sull’intero programma.</w:t>
      </w:r>
    </w:p>
    <w:p w14:paraId="1A143226" w14:textId="77777777" w:rsidR="007B5408" w:rsidRPr="009D19BD" w:rsidRDefault="007B5408" w:rsidP="007B5408">
      <w:pPr>
        <w:pStyle w:val="Testo2"/>
        <w:spacing w:after="120"/>
        <w:ind w:firstLine="0"/>
      </w:pPr>
      <w:r w:rsidRPr="009D19BD">
        <w:t xml:space="preserve">Gli </w:t>
      </w:r>
      <w:r w:rsidRPr="00771A4B">
        <w:rPr>
          <w:u w:val="single"/>
        </w:rPr>
        <w:t>studenti non frequentanti</w:t>
      </w:r>
      <w:r w:rsidRPr="009D19BD">
        <w:t xml:space="preserve"> dovranno sostenere l’esame </w:t>
      </w:r>
      <w:r>
        <w:t xml:space="preserve">esclusivamente </w:t>
      </w:r>
      <w:r w:rsidRPr="009D19BD">
        <w:t>in forma orale sull’intero programma indicato nella guida del Corso di laurea in Giurisprudenza, attenendosi alla bibliografia ivi indicata.</w:t>
      </w:r>
    </w:p>
    <w:p w14:paraId="1A143227" w14:textId="77777777" w:rsidR="007B5408" w:rsidRPr="009D19BD" w:rsidRDefault="007B5408" w:rsidP="007B5408">
      <w:pPr>
        <w:spacing w:before="240" w:after="120"/>
        <w:rPr>
          <w:b/>
          <w:i/>
          <w:sz w:val="18"/>
        </w:rPr>
      </w:pPr>
      <w:r w:rsidRPr="009D19BD">
        <w:rPr>
          <w:b/>
          <w:i/>
          <w:sz w:val="18"/>
        </w:rPr>
        <w:t>AVVERTENZE E PREREQUISITI</w:t>
      </w:r>
    </w:p>
    <w:p w14:paraId="1A143228" w14:textId="77777777" w:rsidR="007B5408" w:rsidRPr="009D19BD" w:rsidRDefault="007B5408" w:rsidP="007B5408">
      <w:pPr>
        <w:pStyle w:val="Testo2"/>
      </w:pPr>
      <w:r w:rsidRPr="007B5408">
        <w:t>Pur avendo carattere introduttivo e non necessitando di prerequisiti specifici relativi ai contenuti, per una più proficua partecipazione al Corso è tuttavia auspicabile, da parte dello studente, la conoscenza delle tradizionali periodizzazioni storiche, nonché dei principali eventi che hanno caratterizzato la storia medievale e moderna dell’Europa.</w:t>
      </w:r>
      <w:r w:rsidRPr="009D19BD">
        <w:t xml:space="preserve"> </w:t>
      </w:r>
    </w:p>
    <w:p w14:paraId="1A143229" w14:textId="77777777" w:rsidR="007B5408" w:rsidRPr="004B0AEE" w:rsidRDefault="004B0AEE" w:rsidP="004B0AEE">
      <w:pPr>
        <w:spacing w:before="240" w:after="120"/>
        <w:rPr>
          <w:b/>
          <w:i/>
          <w:sz w:val="18"/>
        </w:rPr>
      </w:pPr>
      <w:r w:rsidRPr="004B0AEE">
        <w:rPr>
          <w:b/>
          <w:i/>
          <w:sz w:val="18"/>
        </w:rPr>
        <w:t xml:space="preserve">ORARIO E LUOGO DI RICEVIMENTO </w:t>
      </w:r>
    </w:p>
    <w:p w14:paraId="1A14322A" w14:textId="77777777" w:rsidR="007B5408" w:rsidRPr="007B5408" w:rsidRDefault="007B5408" w:rsidP="000353A2">
      <w:pPr>
        <w:pStyle w:val="Testo2"/>
        <w:rPr>
          <w:i/>
        </w:rPr>
      </w:pPr>
      <w:r w:rsidRPr="009D19BD">
        <w:t xml:space="preserve">Gli orari di ricevimento sono disponibili on line nella pagina personale del docente, consultabile al sito </w:t>
      </w:r>
      <w:hyperlink r:id="rId14" w:history="1">
        <w:r w:rsidRPr="009D19BD">
          <w:t>http://docenti.unicatt.it/</w:t>
        </w:r>
      </w:hyperlink>
      <w:r w:rsidRPr="009D19BD">
        <w:t>.</w:t>
      </w:r>
    </w:p>
    <w:sectPr w:rsidR="007B5408" w:rsidRPr="007B540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8F052" w14:textId="77777777" w:rsidR="009C025B" w:rsidRDefault="009C025B" w:rsidP="009C025B">
      <w:pPr>
        <w:spacing w:line="240" w:lineRule="auto"/>
      </w:pPr>
      <w:r>
        <w:separator/>
      </w:r>
    </w:p>
  </w:endnote>
  <w:endnote w:type="continuationSeparator" w:id="0">
    <w:p w14:paraId="1A8FE5CE" w14:textId="77777777" w:rsidR="009C025B" w:rsidRDefault="009C025B" w:rsidP="009C02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0825D" w14:textId="77777777" w:rsidR="009C025B" w:rsidRDefault="009C025B" w:rsidP="009C025B">
      <w:pPr>
        <w:spacing w:line="240" w:lineRule="auto"/>
      </w:pPr>
      <w:r>
        <w:separator/>
      </w:r>
    </w:p>
  </w:footnote>
  <w:footnote w:type="continuationSeparator" w:id="0">
    <w:p w14:paraId="3968E222" w14:textId="77777777" w:rsidR="009C025B" w:rsidRDefault="009C025B" w:rsidP="009C025B">
      <w:pPr>
        <w:spacing w:line="240" w:lineRule="auto"/>
      </w:pPr>
      <w:r>
        <w:continuationSeparator/>
      </w:r>
    </w:p>
  </w:footnote>
  <w:footnote w:id="1">
    <w:p w14:paraId="1676285A" w14:textId="4C79B140" w:rsidR="009C025B" w:rsidRDefault="009C025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87DD2"/>
    <w:multiLevelType w:val="singleLevel"/>
    <w:tmpl w:val="00000000"/>
    <w:lvl w:ilvl="0">
      <w:start w:val="1"/>
      <w:numFmt w:val="bullet"/>
      <w:lvlText w:val="-"/>
      <w:lvlJc w:val="left"/>
      <w:pPr>
        <w:ind w:left="360" w:hanging="360"/>
      </w:pPr>
    </w:lvl>
  </w:abstractNum>
  <w:abstractNum w:abstractNumId="1">
    <w:nsid w:val="5F503A6C"/>
    <w:multiLevelType w:val="hybridMultilevel"/>
    <w:tmpl w:val="7758E004"/>
    <w:lvl w:ilvl="0" w:tplc="0A12962A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0E"/>
    <w:rsid w:val="000276BA"/>
    <w:rsid w:val="000353A2"/>
    <w:rsid w:val="0003583C"/>
    <w:rsid w:val="00065400"/>
    <w:rsid w:val="00145EBB"/>
    <w:rsid w:val="001854A2"/>
    <w:rsid w:val="00187B99"/>
    <w:rsid w:val="002014DD"/>
    <w:rsid w:val="0026760C"/>
    <w:rsid w:val="002D5E17"/>
    <w:rsid w:val="004037F5"/>
    <w:rsid w:val="004B0AEE"/>
    <w:rsid w:val="004D1217"/>
    <w:rsid w:val="004D320E"/>
    <w:rsid w:val="004D6008"/>
    <w:rsid w:val="004D610E"/>
    <w:rsid w:val="004E7457"/>
    <w:rsid w:val="00555CEE"/>
    <w:rsid w:val="0056582F"/>
    <w:rsid w:val="005C0237"/>
    <w:rsid w:val="005E3B19"/>
    <w:rsid w:val="00606A1F"/>
    <w:rsid w:val="00640794"/>
    <w:rsid w:val="006F1772"/>
    <w:rsid w:val="00771A4B"/>
    <w:rsid w:val="007B5408"/>
    <w:rsid w:val="00886EE8"/>
    <w:rsid w:val="008942E7"/>
    <w:rsid w:val="008A1204"/>
    <w:rsid w:val="00900CCA"/>
    <w:rsid w:val="00924B77"/>
    <w:rsid w:val="00940DA2"/>
    <w:rsid w:val="009C025B"/>
    <w:rsid w:val="009D19BD"/>
    <w:rsid w:val="009E055C"/>
    <w:rsid w:val="009F7C2B"/>
    <w:rsid w:val="00A146E7"/>
    <w:rsid w:val="00A46F3B"/>
    <w:rsid w:val="00A67327"/>
    <w:rsid w:val="00A67F0C"/>
    <w:rsid w:val="00A74F6F"/>
    <w:rsid w:val="00AD2363"/>
    <w:rsid w:val="00AD7557"/>
    <w:rsid w:val="00B46AA0"/>
    <w:rsid w:val="00B50C5D"/>
    <w:rsid w:val="00B51253"/>
    <w:rsid w:val="00B525CC"/>
    <w:rsid w:val="00BC5F27"/>
    <w:rsid w:val="00CF19B8"/>
    <w:rsid w:val="00D404F2"/>
    <w:rsid w:val="00DA22CE"/>
    <w:rsid w:val="00E607E6"/>
    <w:rsid w:val="00FA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43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E3B1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dice6">
    <w:name w:val="index 6"/>
    <w:qFormat/>
    <w:rsid w:val="004E745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customStyle="1" w:styleId="TableParagraph">
    <w:name w:val="Table Paragraph"/>
    <w:basedOn w:val="Normale"/>
    <w:uiPriority w:val="1"/>
    <w:qFormat/>
    <w:rsid w:val="005C0237"/>
    <w:pPr>
      <w:widowControl w:val="0"/>
      <w:tabs>
        <w:tab w:val="clear" w:pos="284"/>
      </w:tabs>
      <w:autoSpaceDE w:val="0"/>
      <w:autoSpaceDN w:val="0"/>
      <w:spacing w:line="240" w:lineRule="auto"/>
      <w:jc w:val="left"/>
    </w:pPr>
    <w:rPr>
      <w:rFonts w:ascii="Arial" w:eastAsia="Arial" w:hAnsi="Arial" w:cs="Arial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0353A2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A67F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7F0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9C025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C025B"/>
  </w:style>
  <w:style w:type="character" w:styleId="Rimandonotaapidipagina">
    <w:name w:val="footnote reference"/>
    <w:basedOn w:val="Carpredefinitoparagrafo"/>
    <w:rsid w:val="009C025B"/>
    <w:rPr>
      <w:vertAlign w:val="superscript"/>
    </w:rPr>
  </w:style>
  <w:style w:type="character" w:styleId="Collegamentoipertestuale">
    <w:name w:val="Hyperlink"/>
    <w:basedOn w:val="Carpredefinitoparagrafo"/>
    <w:rsid w:val="009C02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E3B1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dice6">
    <w:name w:val="index 6"/>
    <w:qFormat/>
    <w:rsid w:val="004E745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customStyle="1" w:styleId="TableParagraph">
    <w:name w:val="Table Paragraph"/>
    <w:basedOn w:val="Normale"/>
    <w:uiPriority w:val="1"/>
    <w:qFormat/>
    <w:rsid w:val="005C0237"/>
    <w:pPr>
      <w:widowControl w:val="0"/>
      <w:tabs>
        <w:tab w:val="clear" w:pos="284"/>
      </w:tabs>
      <w:autoSpaceDE w:val="0"/>
      <w:autoSpaceDN w:val="0"/>
      <w:spacing w:line="240" w:lineRule="auto"/>
      <w:jc w:val="left"/>
    </w:pPr>
    <w:rPr>
      <w:rFonts w:ascii="Arial" w:eastAsia="Arial" w:hAnsi="Arial" w:cs="Arial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0353A2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A67F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7F0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9C025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C025B"/>
  </w:style>
  <w:style w:type="character" w:styleId="Rimandonotaapidipagina">
    <w:name w:val="footnote reference"/>
    <w:basedOn w:val="Carpredefinitoparagrafo"/>
    <w:rsid w:val="009C025B"/>
    <w:rPr>
      <w:vertAlign w:val="superscript"/>
    </w:rPr>
  </w:style>
  <w:style w:type="character" w:styleId="Collegamentoipertestuale">
    <w:name w:val="Hyperlink"/>
    <w:basedOn w:val="Carpredefinitoparagrafo"/>
    <w:rsid w:val="009C02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brerie.unicatt.it/scheda-libro/adriano-cavanna/storia-del-diritto-moderno-in-europa-9788814189814-214233.htm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tempi-del-diritto-eta-medievale-moderna-contemporanea-9788892117822-552385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docenti.unicatt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27684-7A54-4EE1-852D-F23812C3A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466347-4551-4BB8-9069-D6F604CF85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739A6-203A-45F6-8332-A9314F096F15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189edbf7-6629-4be8-98e2-0a629d83435f"/>
    <ds:schemaRef ds:uri="http://schemas.openxmlformats.org/package/2006/metadata/core-properties"/>
    <ds:schemaRef ds:uri="69cdee98-039f-42ef-84e8-bcafbefa6ce6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7BD604B-2DBA-488B-AEB0-1EA86424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102</TotalTime>
  <Pages>2</Pages>
  <Words>573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30</cp:revision>
  <cp:lastPrinted>2021-05-06T14:56:00Z</cp:lastPrinted>
  <dcterms:created xsi:type="dcterms:W3CDTF">2019-06-06T14:27:00Z</dcterms:created>
  <dcterms:modified xsi:type="dcterms:W3CDTF">2021-07-30T09:40:00Z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