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AEA5" w14:textId="28C753C2" w:rsidR="00A346A3" w:rsidRDefault="00CB2ED5" w:rsidP="0040638D">
      <w:pPr>
        <w:pStyle w:val="Titolo1"/>
        <w:spacing w:before="0" w:line="240" w:lineRule="auto"/>
      </w:pPr>
      <w:r w:rsidRPr="00E25243">
        <w:t xml:space="preserve">Politica Economica Avanzata </w:t>
      </w:r>
    </w:p>
    <w:p w14:paraId="6AA070C7" w14:textId="13A1ABC6" w:rsidR="0040638D" w:rsidRDefault="0040638D" w:rsidP="0040638D">
      <w:pPr>
        <w:pStyle w:val="Titolo2"/>
        <w:spacing w:line="240" w:lineRule="auto"/>
      </w:pPr>
      <w:r>
        <w:t>Pro</w:t>
      </w:r>
      <w:r w:rsidRPr="00E25243">
        <w:t>f. Francesco Timpano</w:t>
      </w:r>
    </w:p>
    <w:p w14:paraId="3C4779C3" w14:textId="77777777" w:rsidR="0040638D" w:rsidRPr="0040638D" w:rsidRDefault="0040638D" w:rsidP="0040638D">
      <w:pPr>
        <w:pStyle w:val="Titolo3"/>
        <w:spacing w:before="0" w:after="0" w:line="240" w:lineRule="auto"/>
      </w:pPr>
    </w:p>
    <w:p w14:paraId="066DE7DE" w14:textId="6189481D" w:rsidR="00C27DF5" w:rsidRDefault="00082AFB" w:rsidP="0040638D">
      <w:pPr>
        <w:pStyle w:val="Titolo2"/>
        <w:spacing w:line="240" w:lineRule="auto"/>
        <w:rPr>
          <w:szCs w:val="18"/>
        </w:rPr>
      </w:pPr>
      <w:r>
        <w:t xml:space="preserve">Modulo 1 - </w:t>
      </w:r>
      <w:r w:rsidR="00D52AF0" w:rsidRPr="00381385">
        <w:rPr>
          <w:szCs w:val="18"/>
        </w:rPr>
        <w:t>Politica economica europe</w:t>
      </w:r>
      <w:r w:rsidR="00D52AF0">
        <w:rPr>
          <w:szCs w:val="18"/>
        </w:rPr>
        <w:t xml:space="preserve">a </w:t>
      </w:r>
    </w:p>
    <w:p w14:paraId="0751C65A" w14:textId="3A666CEF" w:rsidR="00D52AF0" w:rsidRPr="00D52AF0" w:rsidRDefault="00D52AF0" w:rsidP="0040638D">
      <w:pPr>
        <w:pStyle w:val="Titolo2"/>
        <w:spacing w:line="240" w:lineRule="auto"/>
        <w:rPr>
          <w:szCs w:val="18"/>
        </w:rPr>
      </w:pPr>
      <w:r>
        <w:rPr>
          <w:szCs w:val="18"/>
        </w:rPr>
        <w:t>Modulo 2 – Politiche per l’Impresa e la Digitalizzazione</w:t>
      </w:r>
    </w:p>
    <w:p w14:paraId="60810E8D" w14:textId="77777777" w:rsidR="00177EFB" w:rsidRDefault="00177EFB" w:rsidP="0040638D">
      <w:pPr>
        <w:spacing w:line="240" w:lineRule="auto"/>
        <w:rPr>
          <w:b/>
        </w:rPr>
      </w:pPr>
    </w:p>
    <w:p w14:paraId="52181E40" w14:textId="380184E0" w:rsidR="002B431B" w:rsidRPr="005A5A37" w:rsidRDefault="005A5A37" w:rsidP="000717E5">
      <w:pPr>
        <w:spacing w:before="120"/>
        <w:rPr>
          <w:b/>
          <w:i/>
          <w:sz w:val="18"/>
          <w:szCs w:val="18"/>
        </w:rPr>
      </w:pPr>
      <w:r w:rsidRPr="005A5A37">
        <w:rPr>
          <w:b/>
          <w:i/>
          <w:sz w:val="18"/>
          <w:szCs w:val="18"/>
        </w:rPr>
        <w:t>OBIETTIVO DEL CORSO</w:t>
      </w:r>
      <w:r w:rsidR="00DC73B0">
        <w:rPr>
          <w:b/>
          <w:i/>
          <w:sz w:val="18"/>
          <w:szCs w:val="18"/>
        </w:rPr>
        <w:t xml:space="preserve"> E RISULTATI DI APPRENDIMENTO ATTESI</w:t>
      </w:r>
    </w:p>
    <w:p w14:paraId="024D4DBA" w14:textId="77777777" w:rsidR="00B83EE6" w:rsidRDefault="002B431B" w:rsidP="000717E5">
      <w:pPr>
        <w:spacing w:before="120"/>
      </w:pPr>
      <w:r w:rsidRPr="002B431B">
        <w:t xml:space="preserve">Il corso è introdotto da </w:t>
      </w:r>
      <w:r w:rsidR="00B83EE6">
        <w:t>una riflessione sul significato delle politiche a partire dal concetto, applicato ampiamente nelle politiche europee, di definizione di “fallimento di mercato”. Si procede poi all’approfondimento di alcuni temi, svolto in ogni caso nella prospettiva di fornire allo studente alcuni strumenti per comprendere l’approccio di policy prevalente, in particolare con riferimento alle politiche di sostegno alle imprese.</w:t>
      </w:r>
    </w:p>
    <w:p w14:paraId="6AAB8F31" w14:textId="09BF11F1" w:rsidR="00B83EE6" w:rsidRDefault="00297EBF" w:rsidP="000717E5">
      <w:pPr>
        <w:spacing w:before="120"/>
      </w:pPr>
      <w:r>
        <w:t>Nel primo modulo</w:t>
      </w:r>
      <w:r w:rsidR="00B83EE6">
        <w:t xml:space="preserve"> del corso si analizza</w:t>
      </w:r>
      <w:r w:rsidR="003F7C48">
        <w:t xml:space="preserve"> l’evoluzione recente delle politiche europee con un’analisi specifica alle novità introdotte in coincidenza con il periodo pandemico.</w:t>
      </w:r>
      <w:r w:rsidR="00B83EE6">
        <w:t xml:space="preserve"> </w:t>
      </w:r>
      <w:r w:rsidR="003F7C48">
        <w:t xml:space="preserve">In termini più strutturali, sarà analizzato </w:t>
      </w:r>
      <w:r w:rsidR="00B83EE6">
        <w:t>il processo europeo di convergenza tra i paesi e le regioni e le politiche di coesione che ne sono scaturite, introducendo anche il dibattito teorico tra approccio “</w:t>
      </w:r>
      <w:proofErr w:type="spellStart"/>
      <w:r w:rsidR="00B83EE6" w:rsidRPr="00CE750C">
        <w:rPr>
          <w:i/>
        </w:rPr>
        <w:t>place-based</w:t>
      </w:r>
      <w:proofErr w:type="spellEnd"/>
      <w:r w:rsidR="00B83EE6">
        <w:t>” alle politiche e approccio “</w:t>
      </w:r>
      <w:proofErr w:type="spellStart"/>
      <w:r w:rsidR="00B83EE6" w:rsidRPr="00CE750C">
        <w:rPr>
          <w:i/>
        </w:rPr>
        <w:t>spatially</w:t>
      </w:r>
      <w:proofErr w:type="spellEnd"/>
      <w:r w:rsidR="00B83EE6" w:rsidRPr="00CE750C">
        <w:rPr>
          <w:i/>
        </w:rPr>
        <w:t xml:space="preserve"> </w:t>
      </w:r>
      <w:proofErr w:type="spellStart"/>
      <w:r w:rsidR="00B83EE6" w:rsidRPr="00CE750C">
        <w:rPr>
          <w:i/>
        </w:rPr>
        <w:t>neutral</w:t>
      </w:r>
      <w:proofErr w:type="spellEnd"/>
      <w:r w:rsidR="00B83EE6">
        <w:t xml:space="preserve">”. </w:t>
      </w:r>
    </w:p>
    <w:p w14:paraId="52A1349A" w14:textId="40679A00" w:rsidR="00B83EE6" w:rsidRDefault="00297EBF" w:rsidP="000717E5">
      <w:pPr>
        <w:spacing w:before="120"/>
      </w:pPr>
      <w:r>
        <w:t xml:space="preserve">Di seguito, </w:t>
      </w:r>
      <w:r w:rsidR="00B83EE6">
        <w:t xml:space="preserve">si analizza il concetto di competitività (territoriale) e le politiche che ne sono scaturite nel contesto europeo a partire dalla Strategia di Lisbona e dalla più recente Europe 2020. </w:t>
      </w:r>
      <w:r w:rsidR="00F87146">
        <w:t xml:space="preserve">In questo contesto si introduce anche il dibattito circa il </w:t>
      </w:r>
      <w:r>
        <w:t xml:space="preserve"> </w:t>
      </w:r>
      <w:r w:rsidR="00F87146">
        <w:t xml:space="preserve"> concetto di competitività territoriale </w:t>
      </w:r>
      <w:r>
        <w:t>ed il</w:t>
      </w:r>
      <w:r w:rsidR="00F87146">
        <w:t xml:space="preserve"> confronto di competitività tra paesi e regioni.</w:t>
      </w:r>
      <w:r w:rsidR="003F7C48">
        <w:t xml:space="preserve"> </w:t>
      </w:r>
    </w:p>
    <w:p w14:paraId="0D6BD4B6" w14:textId="0FE8625B" w:rsidR="00B83EE6" w:rsidRDefault="00297EBF" w:rsidP="000717E5">
      <w:pPr>
        <w:spacing w:before="120"/>
      </w:pPr>
      <w:r>
        <w:t>Nel secondo modulo</w:t>
      </w:r>
      <w:r w:rsidR="00B83EE6">
        <w:t xml:space="preserve"> del corso si </w:t>
      </w:r>
      <w:r w:rsidR="00AA2064">
        <w:t xml:space="preserve">discutono le più recenti politiche industriali a sostegno delle imprese, con particolare riferimento alle cosiddette “Politiche per l’Industria 4.0” e più in generale per la digitalizzazione. Dopo un’analisi della relazione tra produttività ed investimenti in digitalizzazione, si studieranno in modo dettagliato le più recenti politiche di promozione degli investimenti </w:t>
      </w:r>
      <w:r w:rsidR="00D52AF0">
        <w:t>di Industria 4.0</w:t>
      </w:r>
      <w:r w:rsidR="00AA2064">
        <w:t>, anche attraverso tecniche di insegnamento che includono un ruolo attivo degli studenti, promuovendo forme di co</w:t>
      </w:r>
      <w:r w:rsidR="00DC73B0">
        <w:t>-</w:t>
      </w:r>
      <w:r w:rsidR="00AA2064">
        <w:t>progettazione. In questo ambito, saranno discusse le specificità dello sviluppo di queste politiche in “ambiente cluster industriale” con un approfondimento sulle politiche industriali “</w:t>
      </w:r>
      <w:r w:rsidR="00AA2064" w:rsidRPr="00CE750C">
        <w:rPr>
          <w:i/>
        </w:rPr>
        <w:t>cluster-</w:t>
      </w:r>
      <w:proofErr w:type="spellStart"/>
      <w:r w:rsidR="00AA2064" w:rsidRPr="00CE750C">
        <w:rPr>
          <w:i/>
        </w:rPr>
        <w:t>based</w:t>
      </w:r>
      <w:proofErr w:type="spellEnd"/>
      <w:r w:rsidR="00AA2064">
        <w:t>”.</w:t>
      </w:r>
      <w:r w:rsidR="00D23255">
        <w:t xml:space="preserve"> Uno spazio specifico verrà dedicato al tema dello sviluppo sostenibile e della valutazione delle politiche economiche alla luce degli obiettivi di sviluppo sostenibile dell’Agenda 2030 e del Green Deal Europeo.</w:t>
      </w:r>
    </w:p>
    <w:p w14:paraId="02A8BBFF" w14:textId="3AC3552D" w:rsidR="003F7C48" w:rsidRDefault="003F7C48" w:rsidP="000717E5">
      <w:pPr>
        <w:spacing w:before="120"/>
      </w:pPr>
      <w:r>
        <w:t xml:space="preserve">Il corso è trasversalmente caratterizzato dalla contestualizzazione nel programma europeo </w:t>
      </w:r>
      <w:proofErr w:type="spellStart"/>
      <w:r w:rsidRPr="00CE750C">
        <w:rPr>
          <w:i/>
        </w:rPr>
        <w:t>Next</w:t>
      </w:r>
      <w:proofErr w:type="spellEnd"/>
      <w:r w:rsidRPr="00CE750C">
        <w:rPr>
          <w:i/>
        </w:rPr>
        <w:t xml:space="preserve"> Generation EU</w:t>
      </w:r>
      <w:r>
        <w:t xml:space="preserve"> che verrà seguito nella sua fase di progettazione e </w:t>
      </w:r>
      <w:r>
        <w:lastRenderedPageBreak/>
        <w:t xml:space="preserve">realizzazione e monitorato attraverso la realizzazione di un </w:t>
      </w:r>
      <w:r w:rsidRPr="00CE750C">
        <w:rPr>
          <w:i/>
        </w:rPr>
        <w:t xml:space="preserve">Laboratorio </w:t>
      </w:r>
      <w:proofErr w:type="spellStart"/>
      <w:r w:rsidRPr="00CE750C">
        <w:rPr>
          <w:i/>
        </w:rPr>
        <w:t>Next</w:t>
      </w:r>
      <w:proofErr w:type="spellEnd"/>
      <w:r w:rsidRPr="00CE750C">
        <w:rPr>
          <w:i/>
        </w:rPr>
        <w:t xml:space="preserve"> Generation EU</w:t>
      </w:r>
      <w:r>
        <w:t xml:space="preserve"> (</w:t>
      </w:r>
      <w:r w:rsidRPr="003F7C48">
        <w:t>https://www.linkedin.com/company/laboratorio-next-generation-eu/?viewAsMember=true</w:t>
      </w:r>
      <w:r>
        <w:t xml:space="preserve">). </w:t>
      </w:r>
    </w:p>
    <w:p w14:paraId="1A54A0FB" w14:textId="77777777" w:rsidR="00B86441" w:rsidRPr="00B3670E" w:rsidRDefault="00B86441" w:rsidP="00B86441">
      <w:pPr>
        <w:spacing w:after="120"/>
        <w:rPr>
          <w:i/>
        </w:rPr>
      </w:pPr>
      <w:r w:rsidRPr="00B3670E">
        <w:rPr>
          <w:i/>
        </w:rPr>
        <w:t>Risultati di apprendimento attesi</w:t>
      </w:r>
    </w:p>
    <w:p w14:paraId="3BB06E43" w14:textId="77777777" w:rsidR="00B86441" w:rsidRPr="00B3670E" w:rsidRDefault="00B86441" w:rsidP="00B86441">
      <w:pPr>
        <w:tabs>
          <w:tab w:val="clear" w:pos="284"/>
        </w:tabs>
        <w:autoSpaceDE w:val="0"/>
        <w:autoSpaceDN w:val="0"/>
        <w:adjustRightInd w:val="0"/>
        <w:spacing w:after="120" w:line="240" w:lineRule="auto"/>
        <w:rPr>
          <w:i/>
        </w:rPr>
      </w:pPr>
      <w:r w:rsidRPr="00B3670E">
        <w:rPr>
          <w:i/>
        </w:rPr>
        <w:t>Conoscenza e comprensione</w:t>
      </w:r>
    </w:p>
    <w:p w14:paraId="7A82D934" w14:textId="09084BA4" w:rsidR="00B86441" w:rsidRDefault="00B86441" w:rsidP="00B86441">
      <w:pPr>
        <w:tabs>
          <w:tab w:val="clear" w:pos="284"/>
        </w:tabs>
        <w:autoSpaceDE w:val="0"/>
        <w:autoSpaceDN w:val="0"/>
        <w:adjustRightInd w:val="0"/>
        <w:spacing w:after="120" w:line="240" w:lineRule="auto"/>
      </w:pPr>
      <w:r>
        <w:t>Al termine dell’insegnamento lo studente sarà in grado di:</w:t>
      </w:r>
    </w:p>
    <w:p w14:paraId="08D38A11" w14:textId="701C509D" w:rsidR="00B86441" w:rsidRDefault="00B86441" w:rsidP="00B86441">
      <w:pPr>
        <w:pStyle w:val="Paragrafoelenco"/>
        <w:numPr>
          <w:ilvl w:val="0"/>
          <w:numId w:val="18"/>
        </w:numPr>
        <w:spacing w:after="120"/>
        <w:ind w:left="714" w:hanging="357"/>
        <w:contextualSpacing w:val="0"/>
      </w:pPr>
      <w:r>
        <w:t>Analizzare il posizionamento competitivo dei sistemi territoriali nella dimensione europea della convergenza e della competitività (obiettivo 1);</w:t>
      </w:r>
    </w:p>
    <w:p w14:paraId="3664707D" w14:textId="6DA185B5" w:rsidR="00B86441" w:rsidRDefault="00B86441" w:rsidP="00B86441">
      <w:pPr>
        <w:pStyle w:val="Paragrafoelenco"/>
        <w:numPr>
          <w:ilvl w:val="0"/>
          <w:numId w:val="18"/>
        </w:numPr>
        <w:spacing w:after="120"/>
        <w:ind w:left="714" w:hanging="357"/>
        <w:contextualSpacing w:val="0"/>
      </w:pPr>
      <w:r>
        <w:t>Comprendere la dimensione spaziale dello sviluppo dell’attività economica (obiettivo 2);</w:t>
      </w:r>
    </w:p>
    <w:p w14:paraId="463C3BBC" w14:textId="6236592A" w:rsidR="00B86441" w:rsidRDefault="00B86441" w:rsidP="00B86441">
      <w:pPr>
        <w:pStyle w:val="Paragrafoelenco"/>
        <w:numPr>
          <w:ilvl w:val="0"/>
          <w:numId w:val="18"/>
        </w:numPr>
        <w:spacing w:after="120"/>
        <w:ind w:left="714" w:hanging="357"/>
        <w:contextualSpacing w:val="0"/>
      </w:pPr>
      <w:r>
        <w:t>Conoscere la strumentazione di policy destinata alle imprese (obiettivo 3);</w:t>
      </w:r>
    </w:p>
    <w:p w14:paraId="0FCC6A59" w14:textId="2CC33DE4" w:rsidR="00B86441" w:rsidRDefault="00B86441" w:rsidP="00B86441">
      <w:pPr>
        <w:pStyle w:val="Paragrafoelenco"/>
        <w:numPr>
          <w:ilvl w:val="0"/>
          <w:numId w:val="18"/>
        </w:numPr>
        <w:spacing w:after="120"/>
        <w:ind w:left="714" w:hanging="357"/>
        <w:contextualSpacing w:val="0"/>
      </w:pPr>
      <w:r>
        <w:t xml:space="preserve">Implementare un’analisi approfondita delle politiche per la digitalizzazione e per la </w:t>
      </w:r>
      <w:proofErr w:type="gramStart"/>
      <w:r>
        <w:t>sostenibilità(</w:t>
      </w:r>
      <w:proofErr w:type="gramEnd"/>
      <w:r>
        <w:t>obiettivo 4);</w:t>
      </w:r>
    </w:p>
    <w:p w14:paraId="3018A403" w14:textId="77777777" w:rsidR="00B86441" w:rsidRPr="00B3670E" w:rsidRDefault="00B86441" w:rsidP="00B86441">
      <w:pPr>
        <w:spacing w:after="120"/>
        <w:rPr>
          <w:i/>
        </w:rPr>
      </w:pPr>
      <w:r w:rsidRPr="00B3670E">
        <w:rPr>
          <w:i/>
        </w:rPr>
        <w:t>Capacità di applicare conoscenza e comprensione</w:t>
      </w:r>
    </w:p>
    <w:p w14:paraId="3C58CC19" w14:textId="7BD30577" w:rsidR="00B86441" w:rsidRDefault="00B86441" w:rsidP="00B86441">
      <w:pPr>
        <w:pStyle w:val="Paragrafoelenco"/>
        <w:numPr>
          <w:ilvl w:val="0"/>
          <w:numId w:val="18"/>
        </w:numPr>
        <w:spacing w:after="120"/>
        <w:ind w:left="714" w:hanging="357"/>
        <w:contextualSpacing w:val="0"/>
      </w:pPr>
      <w:r>
        <w:t xml:space="preserve">Capacità di sviluppare competenze applicate sul programma europeo </w:t>
      </w:r>
      <w:proofErr w:type="spellStart"/>
      <w:r>
        <w:t>Next</w:t>
      </w:r>
      <w:proofErr w:type="spellEnd"/>
      <w:r>
        <w:t xml:space="preserve"> Generation EU (obiettivo 5);</w:t>
      </w:r>
    </w:p>
    <w:p w14:paraId="359AC016" w14:textId="428AB415" w:rsidR="00B86441" w:rsidRDefault="00B86441" w:rsidP="00B86441">
      <w:pPr>
        <w:pStyle w:val="Paragrafoelenco"/>
        <w:numPr>
          <w:ilvl w:val="0"/>
          <w:numId w:val="18"/>
        </w:numPr>
        <w:spacing w:after="120"/>
        <w:ind w:left="714" w:hanging="357"/>
        <w:contextualSpacing w:val="0"/>
      </w:pPr>
      <w:r>
        <w:t>Proporre modifiche di progettazione nelle politiche economiche, in particolare quelle destinate alle imprese (obiettivo 6);</w:t>
      </w:r>
    </w:p>
    <w:p w14:paraId="0CC7E024" w14:textId="77777777" w:rsidR="00B86441" w:rsidRDefault="00B86441" w:rsidP="00B86441">
      <w:pPr>
        <w:pStyle w:val="Paragrafoelenco"/>
        <w:numPr>
          <w:ilvl w:val="0"/>
          <w:numId w:val="18"/>
        </w:numPr>
        <w:spacing w:after="120"/>
        <w:ind w:left="714" w:hanging="357"/>
        <w:contextualSpacing w:val="0"/>
      </w:pPr>
      <w:r>
        <w:t xml:space="preserve">Utilizzare i modelli macroeconomici per valutare l’impatto delle politiche monetarie, fiscali, valutarie e le politiche europee, oltre che quelle orientate alla realizzazione dello sviluppo sostenibile (obiettivo 7); </w:t>
      </w:r>
    </w:p>
    <w:p w14:paraId="6AEE77E1" w14:textId="13F70884" w:rsidR="00B86441" w:rsidRDefault="00B86441" w:rsidP="00B86441">
      <w:pPr>
        <w:pStyle w:val="Paragrafoelenco"/>
        <w:numPr>
          <w:ilvl w:val="0"/>
          <w:numId w:val="18"/>
        </w:numPr>
        <w:spacing w:after="120"/>
        <w:ind w:left="714" w:hanging="357"/>
        <w:contextualSpacing w:val="0"/>
      </w:pPr>
      <w:r>
        <w:t xml:space="preserve">Sviluppare competenze specifiche sulla valutazione delle politiche alla luce dell’Agenda 2030 e degli </w:t>
      </w:r>
      <w:proofErr w:type="spellStart"/>
      <w:r>
        <w:t>SDGs</w:t>
      </w:r>
      <w:proofErr w:type="spellEnd"/>
      <w:r>
        <w:t xml:space="preserve"> (obiettivo 8).</w:t>
      </w:r>
    </w:p>
    <w:p w14:paraId="5979D26C" w14:textId="0DCF7D4A" w:rsidR="00B86441" w:rsidRDefault="00B86441" w:rsidP="00B86441">
      <w:pPr>
        <w:spacing w:after="120"/>
      </w:pPr>
      <w:r>
        <w:t xml:space="preserve">Nell’ambito del corso si promuoverà la capacità dello studente di apprendere la struttura delle politiche e di valutarne l’impatto, puntando a promuovere una propria autonomia di giudizio e promuovendo in modo significativo la capacità di proporre </w:t>
      </w:r>
      <w:r w:rsidR="009763D3">
        <w:t>modifiche di policy, anche alla luce della valutazione del mondo professionale</w:t>
      </w:r>
      <w:r>
        <w:t>. I metodi di valutazione sono costruiti allo scopo di stimolare abilità comunicative</w:t>
      </w:r>
      <w:r w:rsidR="009763D3">
        <w:t xml:space="preserve"> in particolare attraverso il percorso dell’</w:t>
      </w:r>
      <w:proofErr w:type="spellStart"/>
      <w:r w:rsidR="009763D3">
        <w:t>Hackathon</w:t>
      </w:r>
      <w:proofErr w:type="spellEnd"/>
      <w:r w:rsidR="009763D3">
        <w:t xml:space="preserve"> che mette in confronto gli studenti con il mondo professionale.</w:t>
      </w:r>
    </w:p>
    <w:p w14:paraId="72A76182" w14:textId="77777777" w:rsidR="00B86441" w:rsidRDefault="00B86441" w:rsidP="000717E5">
      <w:pPr>
        <w:spacing w:before="120"/>
      </w:pPr>
    </w:p>
    <w:p w14:paraId="3E6BA1C4" w14:textId="77777777" w:rsidR="000717E5" w:rsidRPr="00177EFB" w:rsidRDefault="000717E5" w:rsidP="000717E5">
      <w:pPr>
        <w:tabs>
          <w:tab w:val="clear" w:pos="284"/>
          <w:tab w:val="num" w:pos="1429"/>
        </w:tabs>
        <w:ind w:left="142"/>
      </w:pPr>
    </w:p>
    <w:p w14:paraId="5467BBD3" w14:textId="77777777" w:rsidR="00CE750C" w:rsidRDefault="00CE750C" w:rsidP="00E51D6C">
      <w:pPr>
        <w:tabs>
          <w:tab w:val="clear" w:pos="284"/>
          <w:tab w:val="num" w:pos="1429"/>
        </w:tabs>
        <w:spacing w:before="120"/>
        <w:ind w:left="142"/>
        <w:rPr>
          <w:b/>
          <w:i/>
          <w:sz w:val="18"/>
        </w:rPr>
      </w:pPr>
    </w:p>
    <w:p w14:paraId="60AB7985" w14:textId="64DB841A" w:rsidR="00E51D6C" w:rsidRDefault="002B431B" w:rsidP="00E51D6C">
      <w:pPr>
        <w:tabs>
          <w:tab w:val="clear" w:pos="284"/>
          <w:tab w:val="num" w:pos="1429"/>
        </w:tabs>
        <w:spacing w:before="120"/>
        <w:ind w:left="142"/>
        <w:rPr>
          <w:b/>
          <w:sz w:val="18"/>
        </w:rPr>
      </w:pPr>
      <w:r w:rsidRPr="00177EFB">
        <w:rPr>
          <w:b/>
          <w:i/>
          <w:sz w:val="18"/>
        </w:rPr>
        <w:lastRenderedPageBreak/>
        <w:t>PROGRAMMA DEL CORSO</w:t>
      </w:r>
    </w:p>
    <w:p w14:paraId="1395976C" w14:textId="7197188B" w:rsidR="00457378" w:rsidRDefault="00D52AF0" w:rsidP="00CE750C">
      <w:pPr>
        <w:tabs>
          <w:tab w:val="clear" w:pos="284"/>
        </w:tabs>
        <w:spacing w:before="120"/>
      </w:pPr>
      <w:r>
        <w:t>Modulo 1 - Politica economica europea</w:t>
      </w:r>
    </w:p>
    <w:p w14:paraId="532CB865" w14:textId="4C95911E" w:rsidR="00457378" w:rsidRPr="00CE750C" w:rsidRDefault="00E51D6C" w:rsidP="00457378">
      <w:pPr>
        <w:pStyle w:val="Paragrafoelenco"/>
        <w:numPr>
          <w:ilvl w:val="1"/>
          <w:numId w:val="17"/>
        </w:numPr>
        <w:tabs>
          <w:tab w:val="clear" w:pos="284"/>
        </w:tabs>
        <w:spacing w:before="120"/>
        <w:rPr>
          <w:rFonts w:eastAsia="Times" w:cs="Times"/>
        </w:rPr>
      </w:pPr>
      <w:r>
        <w:t>Fallimento del mercato e ragioni per la politica economica: la prospettiva europea</w:t>
      </w:r>
    </w:p>
    <w:p w14:paraId="095D1DBF" w14:textId="03F117DA" w:rsidR="00457378" w:rsidRPr="00CE750C" w:rsidRDefault="00D23255" w:rsidP="00CE750C">
      <w:pPr>
        <w:pStyle w:val="Paragrafoelenco"/>
        <w:numPr>
          <w:ilvl w:val="1"/>
          <w:numId w:val="17"/>
        </w:numPr>
        <w:tabs>
          <w:tab w:val="clear" w:pos="284"/>
        </w:tabs>
        <w:spacing w:before="120"/>
        <w:rPr>
          <w:rFonts w:eastAsia="Times" w:cs="Times"/>
        </w:rPr>
      </w:pPr>
      <w:r w:rsidRPr="00CE750C">
        <w:rPr>
          <w:rFonts w:eastAsia="Times" w:cs="Times"/>
        </w:rPr>
        <w:t>La politica economica europea della pandemia</w:t>
      </w:r>
    </w:p>
    <w:p w14:paraId="4FD9B11F" w14:textId="42ED53B5" w:rsidR="00457378" w:rsidRPr="00CE750C" w:rsidRDefault="004F60F2" w:rsidP="00457378">
      <w:pPr>
        <w:pStyle w:val="Paragrafoelenco"/>
        <w:numPr>
          <w:ilvl w:val="1"/>
          <w:numId w:val="17"/>
        </w:numPr>
        <w:rPr>
          <w:rFonts w:eastAsia="Times" w:cs="Times"/>
        </w:rPr>
      </w:pPr>
      <w:r>
        <w:t>Convergenza e politiche di coesione in Europa</w:t>
      </w:r>
    </w:p>
    <w:p w14:paraId="5293F55B" w14:textId="25B122D8" w:rsidR="00457378" w:rsidRPr="00CE750C" w:rsidRDefault="004F60F2" w:rsidP="00457378">
      <w:pPr>
        <w:pStyle w:val="Paragrafoelenco"/>
        <w:numPr>
          <w:ilvl w:val="1"/>
          <w:numId w:val="17"/>
        </w:numPr>
        <w:rPr>
          <w:rFonts w:eastAsia="Times" w:cs="Times"/>
        </w:rPr>
      </w:pPr>
      <w:r>
        <w:t>Competitività territoriale e politiche per la competitività in Europa</w:t>
      </w:r>
    </w:p>
    <w:p w14:paraId="2144DFD5" w14:textId="570AC0D1" w:rsidR="00D23255" w:rsidRPr="00CE750C" w:rsidRDefault="00D23255" w:rsidP="00CE750C">
      <w:pPr>
        <w:pStyle w:val="Paragrafoelenco"/>
        <w:numPr>
          <w:ilvl w:val="1"/>
          <w:numId w:val="17"/>
        </w:numPr>
        <w:rPr>
          <w:rFonts w:eastAsia="Times" w:cs="Times"/>
          <w:lang w:val="en-US"/>
        </w:rPr>
      </w:pPr>
      <w:r w:rsidRPr="00CE750C">
        <w:rPr>
          <w:rFonts w:eastAsia="Times" w:cs="Times"/>
          <w:lang w:val="en-US"/>
        </w:rPr>
        <w:t>Next Generation EU e Green Deal EU</w:t>
      </w:r>
    </w:p>
    <w:p w14:paraId="7951B4C3" w14:textId="77777777" w:rsidR="00D23255" w:rsidRPr="00CE750C" w:rsidRDefault="00D23255" w:rsidP="00CE750C">
      <w:pPr>
        <w:spacing w:before="120"/>
        <w:rPr>
          <w:rFonts w:eastAsia="Times" w:cs="Times"/>
          <w:lang w:val="en-US"/>
        </w:rPr>
      </w:pPr>
    </w:p>
    <w:p w14:paraId="13AA76A5" w14:textId="689FC4EF" w:rsidR="00457378" w:rsidRDefault="00D52AF0" w:rsidP="00CE750C">
      <w:r>
        <w:t>Modulo 2 – Politiche per l’impresa e la digitalizzazion</w:t>
      </w:r>
      <w:r w:rsidR="00D23255">
        <w:t>e</w:t>
      </w:r>
    </w:p>
    <w:p w14:paraId="29493A30" w14:textId="77777777" w:rsidR="00D23255" w:rsidRDefault="00D23255" w:rsidP="00D23255"/>
    <w:p w14:paraId="48605318" w14:textId="0FE64FDD" w:rsidR="00457378" w:rsidRDefault="004F60F2" w:rsidP="00457378">
      <w:pPr>
        <w:pStyle w:val="Paragrafoelenco"/>
        <w:numPr>
          <w:ilvl w:val="1"/>
          <w:numId w:val="16"/>
        </w:numPr>
      </w:pPr>
      <w:r>
        <w:t>Politiche a sostegno dell’innovazione e cluster industriali</w:t>
      </w:r>
    </w:p>
    <w:p w14:paraId="2DFBE4FD" w14:textId="119298EB" w:rsidR="00457378" w:rsidRDefault="00F1798A" w:rsidP="00457378">
      <w:pPr>
        <w:pStyle w:val="Paragrafoelenco"/>
        <w:numPr>
          <w:ilvl w:val="1"/>
          <w:numId w:val="16"/>
        </w:numPr>
      </w:pPr>
      <w:r>
        <w:t>Politiche a sostegno dell’Industria 4.0 e della digitalizzazione</w:t>
      </w:r>
    </w:p>
    <w:p w14:paraId="580321A3" w14:textId="3BE07BD8" w:rsidR="00D23255" w:rsidRPr="004F60F2" w:rsidRDefault="00D23255" w:rsidP="00CE750C">
      <w:pPr>
        <w:pStyle w:val="Paragrafoelenco"/>
        <w:numPr>
          <w:ilvl w:val="1"/>
          <w:numId w:val="16"/>
        </w:numPr>
      </w:pPr>
      <w:r>
        <w:t xml:space="preserve">Sviluppo sostenibile e la valutazione delle politiche alla luce degli </w:t>
      </w:r>
      <w:proofErr w:type="spellStart"/>
      <w:r>
        <w:t>SDGs</w:t>
      </w:r>
      <w:proofErr w:type="spellEnd"/>
      <w:r>
        <w:t xml:space="preserve"> dell’Agenda 2030</w:t>
      </w:r>
    </w:p>
    <w:p w14:paraId="0FB9D6F2" w14:textId="77777777" w:rsidR="002B431B" w:rsidRPr="004F60F2" w:rsidRDefault="002B431B" w:rsidP="00E51D6C">
      <w:pPr>
        <w:tabs>
          <w:tab w:val="clear" w:pos="284"/>
          <w:tab w:val="left" w:pos="0"/>
          <w:tab w:val="num" w:pos="142"/>
        </w:tabs>
        <w:ind w:left="142" w:hanging="11"/>
      </w:pPr>
    </w:p>
    <w:p w14:paraId="6777C306" w14:textId="31E20676" w:rsidR="002B431B" w:rsidRPr="002B431B" w:rsidRDefault="002B431B" w:rsidP="000717E5">
      <w:pPr>
        <w:spacing w:before="120"/>
      </w:pPr>
      <w:r w:rsidRPr="002B431B">
        <w:rPr>
          <w:b/>
          <w:i/>
          <w:sz w:val="18"/>
        </w:rPr>
        <w:t>BIBLIOGRAFIA</w:t>
      </w:r>
      <w:r w:rsidR="00CD3A0E">
        <w:rPr>
          <w:rStyle w:val="Rimandonotaapidipagina"/>
          <w:b/>
          <w:i/>
          <w:sz w:val="18"/>
        </w:rPr>
        <w:footnoteReference w:id="1"/>
      </w:r>
    </w:p>
    <w:p w14:paraId="7881B776" w14:textId="0D0A6D83" w:rsidR="002B431B" w:rsidRDefault="002B431B" w:rsidP="000717E5">
      <w:pPr>
        <w:tabs>
          <w:tab w:val="clear" w:pos="284"/>
        </w:tabs>
        <w:spacing w:before="120" w:line="220" w:lineRule="exact"/>
        <w:rPr>
          <w:noProof/>
          <w:sz w:val="18"/>
        </w:rPr>
      </w:pPr>
      <w:r w:rsidRPr="002B431B">
        <w:rPr>
          <w:noProof/>
          <w:sz w:val="18"/>
        </w:rPr>
        <w:t xml:space="preserve">Il docente distribuirà dispense e materiali per </w:t>
      </w:r>
      <w:r w:rsidR="00177EFB">
        <w:rPr>
          <w:noProof/>
          <w:sz w:val="18"/>
        </w:rPr>
        <w:t>ognuno degli argomenti indicati, in particolare con riferimento alle politiche europee per la crescita, la convergenza e la competitività e per le politiche di sostegno alle imprese.</w:t>
      </w:r>
    </w:p>
    <w:p w14:paraId="5D946D40" w14:textId="53EEA3CB" w:rsidR="00584B78" w:rsidRPr="00584B78" w:rsidRDefault="00584B78" w:rsidP="00584B78">
      <w:pPr>
        <w:tabs>
          <w:tab w:val="clear" w:pos="284"/>
        </w:tabs>
        <w:spacing w:before="120" w:line="220" w:lineRule="exact"/>
        <w:rPr>
          <w:i/>
          <w:noProof/>
          <w:sz w:val="18"/>
        </w:rPr>
      </w:pPr>
      <w:r w:rsidRPr="00584B78">
        <w:rPr>
          <w:i/>
          <w:noProof/>
          <w:sz w:val="18"/>
        </w:rPr>
        <w:t>Libri</w:t>
      </w:r>
      <w:r w:rsidR="00457378">
        <w:rPr>
          <w:i/>
          <w:noProof/>
          <w:sz w:val="18"/>
        </w:rPr>
        <w:t xml:space="preserve"> (lettura di supporto)</w:t>
      </w:r>
    </w:p>
    <w:p w14:paraId="22301DB9" w14:textId="59163016" w:rsidR="00584B78" w:rsidRPr="00584B78" w:rsidRDefault="00584B78" w:rsidP="00584B78">
      <w:pPr>
        <w:tabs>
          <w:tab w:val="clear" w:pos="284"/>
        </w:tabs>
        <w:spacing w:before="120" w:line="220" w:lineRule="exact"/>
        <w:rPr>
          <w:noProof/>
          <w:sz w:val="18"/>
        </w:rPr>
      </w:pPr>
      <w:r w:rsidRPr="00584B78">
        <w:rPr>
          <w:noProof/>
          <w:sz w:val="18"/>
        </w:rPr>
        <w:t>Campiglio L., “Mercato prezzi e politica economica”, Mulino, 1999</w:t>
      </w:r>
      <w:r w:rsidR="00CD3A0E">
        <w:rPr>
          <w:noProof/>
          <w:sz w:val="18"/>
        </w:rPr>
        <w:t xml:space="preserve"> </w:t>
      </w:r>
      <w:hyperlink r:id="rId11" w:history="1">
        <w:r w:rsidR="00CD3A0E" w:rsidRPr="00CD3A0E">
          <w:rPr>
            <w:rStyle w:val="Collegamentoipertestuale"/>
            <w:rFonts w:ascii="Times New Roman" w:hAnsi="Times New Roman"/>
            <w:i/>
            <w:sz w:val="16"/>
            <w:szCs w:val="16"/>
          </w:rPr>
          <w:t>Acquista da VP</w:t>
        </w:r>
      </w:hyperlink>
    </w:p>
    <w:p w14:paraId="7B38D348" w14:textId="77777777" w:rsidR="00584B78" w:rsidRPr="00584B78" w:rsidRDefault="00584B78" w:rsidP="00584B78">
      <w:pPr>
        <w:tabs>
          <w:tab w:val="clear" w:pos="284"/>
        </w:tabs>
        <w:spacing w:before="120" w:line="220" w:lineRule="exact"/>
        <w:rPr>
          <w:i/>
          <w:noProof/>
          <w:sz w:val="18"/>
          <w:lang w:val="en-US"/>
        </w:rPr>
      </w:pPr>
      <w:r w:rsidRPr="00584B78">
        <w:rPr>
          <w:i/>
          <w:noProof/>
          <w:sz w:val="18"/>
          <w:lang w:val="en-US"/>
        </w:rPr>
        <w:t>Papers</w:t>
      </w:r>
    </w:p>
    <w:p w14:paraId="4E0E7B2C" w14:textId="77777777" w:rsidR="009B5DB3" w:rsidRPr="00584B78" w:rsidRDefault="00584B78" w:rsidP="00584B78">
      <w:pPr>
        <w:numPr>
          <w:ilvl w:val="0"/>
          <w:numId w:val="12"/>
        </w:numPr>
        <w:tabs>
          <w:tab w:val="clear" w:pos="284"/>
        </w:tabs>
        <w:spacing w:before="120" w:line="220" w:lineRule="exact"/>
        <w:rPr>
          <w:noProof/>
          <w:sz w:val="18"/>
        </w:rPr>
      </w:pPr>
      <w:r w:rsidRPr="00584B78">
        <w:rPr>
          <w:noProof/>
          <w:sz w:val="18"/>
        </w:rPr>
        <w:t xml:space="preserve">Fitoussi J., </w:t>
      </w:r>
      <w:r w:rsidRPr="00CE750C">
        <w:rPr>
          <w:i/>
          <w:noProof/>
          <w:sz w:val="18"/>
        </w:rPr>
        <w:t>L’Unione Europea e i suoi vizi capitali</w:t>
      </w:r>
      <w:r w:rsidRPr="00584B78">
        <w:rPr>
          <w:noProof/>
          <w:sz w:val="18"/>
        </w:rPr>
        <w:t>, Vita e Pensiero, 3, 2014</w:t>
      </w:r>
    </w:p>
    <w:p w14:paraId="1C98374E" w14:textId="33D74FC6"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Muro - Liu, </w:t>
      </w:r>
      <w:r w:rsidRPr="00CE750C">
        <w:rPr>
          <w:i/>
          <w:noProof/>
          <w:sz w:val="18"/>
          <w:lang w:val="en-US"/>
        </w:rPr>
        <w:t>Beyond “Amazon Idol” toward a real regional growth strategy</w:t>
      </w:r>
      <w:r w:rsidRPr="00584B78">
        <w:rPr>
          <w:noProof/>
          <w:sz w:val="18"/>
          <w:lang w:val="en-US"/>
        </w:rPr>
        <w:t>,</w:t>
      </w:r>
      <w:r w:rsidR="00457378">
        <w:rPr>
          <w:noProof/>
          <w:sz w:val="18"/>
          <w:lang w:val="en-US"/>
        </w:rPr>
        <w:t xml:space="preserve"> </w:t>
      </w:r>
      <w:r w:rsidRPr="00584B78">
        <w:rPr>
          <w:noProof/>
          <w:sz w:val="18"/>
          <w:lang w:val="en-US"/>
        </w:rPr>
        <w:t>Brookings Papers, 2017</w:t>
      </w:r>
    </w:p>
    <w:p w14:paraId="168E6987" w14:textId="77777777"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Barca F., McCann P. and Rodriguez Pose A., </w:t>
      </w:r>
      <w:r w:rsidRPr="00CE750C">
        <w:rPr>
          <w:i/>
          <w:noProof/>
          <w:sz w:val="18"/>
          <w:lang w:val="en-US"/>
        </w:rPr>
        <w:t>The case for regional development intervention: Place-based versus place-neutral approaches</w:t>
      </w:r>
      <w:r w:rsidRPr="00584B78">
        <w:rPr>
          <w:noProof/>
          <w:sz w:val="18"/>
          <w:lang w:val="en-US"/>
        </w:rPr>
        <w:t>, WP series in Economics and Social Sciences, IMDEA, 2011</w:t>
      </w:r>
    </w:p>
    <w:p w14:paraId="0E21B48E" w14:textId="0E7E5F5E"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Guastella G. - Timpano F., </w:t>
      </w:r>
      <w:r w:rsidRPr="00CE750C">
        <w:rPr>
          <w:i/>
          <w:noProof/>
          <w:sz w:val="18"/>
          <w:lang w:val="en-US"/>
        </w:rPr>
        <w:t>Knowledge, innovation, agglomeration and regional convergence in the EU: motivating place-based regional intervention</w:t>
      </w:r>
      <w:r w:rsidRPr="00584B78">
        <w:rPr>
          <w:noProof/>
          <w:sz w:val="18"/>
          <w:lang w:val="en-US"/>
        </w:rPr>
        <w:t>, Review of Regional Studies, 2016</w:t>
      </w:r>
    </w:p>
    <w:p w14:paraId="3E1862A9" w14:textId="7DE5F2B7"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lastRenderedPageBreak/>
        <w:t xml:space="preserve">Fabrizi E,, Guastella G., Marta S. &amp; F. Timpano, </w:t>
      </w:r>
      <w:r w:rsidRPr="00CE750C">
        <w:rPr>
          <w:i/>
          <w:noProof/>
          <w:sz w:val="18"/>
          <w:lang w:val="en-US"/>
        </w:rPr>
        <w:t>Determinants of intra distribution dynamics in European regions: an empirical assessment of the role of structural funds</w:t>
      </w:r>
      <w:r w:rsidRPr="00584B78">
        <w:rPr>
          <w:noProof/>
          <w:sz w:val="18"/>
          <w:lang w:val="en-US"/>
        </w:rPr>
        <w:t>, Tijdschrift voor Economische en Sociale Geografie, 2015</w:t>
      </w:r>
    </w:p>
    <w:p w14:paraId="488DB447" w14:textId="518E46F0"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Podobnik</w:t>
      </w:r>
      <w:r w:rsidR="00457378">
        <w:rPr>
          <w:noProof/>
          <w:sz w:val="18"/>
          <w:lang w:val="en-US"/>
        </w:rPr>
        <w:t>, B.</w:t>
      </w:r>
      <w:r w:rsidRPr="00584B78">
        <w:rPr>
          <w:noProof/>
          <w:sz w:val="18"/>
          <w:lang w:val="en-US"/>
        </w:rPr>
        <w:t>, Horvatić,</w:t>
      </w:r>
      <w:r w:rsidR="00457378">
        <w:rPr>
          <w:noProof/>
          <w:sz w:val="18"/>
          <w:lang w:val="en-US"/>
        </w:rPr>
        <w:t xml:space="preserve"> D.,</w:t>
      </w:r>
      <w:r w:rsidRPr="00584B78">
        <w:rPr>
          <w:noProof/>
          <w:sz w:val="18"/>
          <w:lang w:val="en-US"/>
        </w:rPr>
        <w:t xml:space="preserve"> Kenett</w:t>
      </w:r>
      <w:r w:rsidR="00457378">
        <w:rPr>
          <w:noProof/>
          <w:sz w:val="18"/>
          <w:lang w:val="en-US"/>
        </w:rPr>
        <w:t xml:space="preserve">, D.Y., </w:t>
      </w:r>
      <w:r w:rsidRPr="00584B78">
        <w:rPr>
          <w:noProof/>
          <w:sz w:val="18"/>
          <w:lang w:val="en-US"/>
        </w:rPr>
        <w:t>Stanle</w:t>
      </w:r>
      <w:r w:rsidR="00457378">
        <w:rPr>
          <w:noProof/>
          <w:sz w:val="18"/>
          <w:lang w:val="en-US"/>
        </w:rPr>
        <w:t xml:space="preserve">y, H.E., </w:t>
      </w:r>
      <w:r w:rsidRPr="00584B78">
        <w:rPr>
          <w:noProof/>
          <w:sz w:val="18"/>
          <w:lang w:val="en-US"/>
        </w:rPr>
        <w:t xml:space="preserve"> </w:t>
      </w:r>
      <w:r w:rsidRPr="00CE750C">
        <w:rPr>
          <w:i/>
          <w:noProof/>
          <w:sz w:val="18"/>
          <w:lang w:val="en-US"/>
        </w:rPr>
        <w:t>The competitiveness versus the wealth of a country</w:t>
      </w:r>
      <w:r w:rsidRPr="00584B78">
        <w:rPr>
          <w:noProof/>
          <w:sz w:val="18"/>
          <w:lang w:val="en-US"/>
        </w:rPr>
        <w:t>, Scientific Reports,2</w:t>
      </w:r>
      <w:r w:rsidR="00457378">
        <w:rPr>
          <w:noProof/>
          <w:sz w:val="18"/>
          <w:lang w:val="en-US"/>
        </w:rPr>
        <w:t>,</w:t>
      </w:r>
      <w:r w:rsidRPr="00584B78">
        <w:rPr>
          <w:noProof/>
          <w:sz w:val="18"/>
          <w:lang w:val="en-US"/>
        </w:rPr>
        <w:t xml:space="preserve"> 2012</w:t>
      </w:r>
    </w:p>
    <w:p w14:paraId="7F49DB2F" w14:textId="77777777"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Krugman P., </w:t>
      </w:r>
      <w:r w:rsidRPr="00CE750C">
        <w:rPr>
          <w:i/>
          <w:noProof/>
          <w:sz w:val="18"/>
          <w:lang w:val="en-US"/>
        </w:rPr>
        <w:t>Territorial competitiveness: a dangerous obsession</w:t>
      </w:r>
      <w:r w:rsidRPr="00584B78">
        <w:rPr>
          <w:noProof/>
          <w:sz w:val="18"/>
          <w:lang w:val="en-US"/>
        </w:rPr>
        <w:t>, Policy Affairs, 1994</w:t>
      </w:r>
    </w:p>
    <w:p w14:paraId="4F6AA0A5" w14:textId="77777777"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Lall S, </w:t>
      </w:r>
      <w:r w:rsidRPr="00CE750C">
        <w:rPr>
          <w:i/>
          <w:noProof/>
          <w:sz w:val="18"/>
          <w:lang w:val="en-US"/>
        </w:rPr>
        <w:t>Competitiveness Indices and Developing Countries: An Economic Evaluation of the Global Competitiveness Report</w:t>
      </w:r>
      <w:r w:rsidRPr="00584B78">
        <w:rPr>
          <w:noProof/>
          <w:sz w:val="18"/>
          <w:lang w:val="en-US"/>
        </w:rPr>
        <w:t>, World Development, 2001</w:t>
      </w:r>
    </w:p>
    <w:p w14:paraId="48A1BC79" w14:textId="77777777" w:rsidR="009B5DB3" w:rsidRPr="00584B78" w:rsidRDefault="00584B78" w:rsidP="00584B78">
      <w:pPr>
        <w:numPr>
          <w:ilvl w:val="0"/>
          <w:numId w:val="12"/>
        </w:numPr>
        <w:tabs>
          <w:tab w:val="clear" w:pos="284"/>
        </w:tabs>
        <w:spacing w:before="120" w:line="220" w:lineRule="exact"/>
        <w:rPr>
          <w:noProof/>
          <w:sz w:val="18"/>
        </w:rPr>
      </w:pPr>
      <w:r w:rsidRPr="00584B78">
        <w:rPr>
          <w:noProof/>
          <w:sz w:val="18"/>
        </w:rPr>
        <w:t xml:space="preserve">Carlini, </w:t>
      </w:r>
      <w:r w:rsidRPr="00CE750C">
        <w:rPr>
          <w:i/>
          <w:noProof/>
          <w:sz w:val="18"/>
        </w:rPr>
        <w:t>Nuove politiche industriali per la trasformazione digitale delle imprese. Il Piano Nazionale Industria 4.0</w:t>
      </w:r>
      <w:r w:rsidRPr="00584B78">
        <w:rPr>
          <w:noProof/>
          <w:sz w:val="18"/>
        </w:rPr>
        <w:t xml:space="preserve">, Economia Italiana, 2017, 1-2-3 </w:t>
      </w:r>
    </w:p>
    <w:p w14:paraId="7FC84253" w14:textId="5A444133"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Fiasché</w:t>
      </w:r>
      <w:r w:rsidR="00457378">
        <w:rPr>
          <w:noProof/>
          <w:sz w:val="18"/>
          <w:lang w:val="en-US"/>
        </w:rPr>
        <w:t>,</w:t>
      </w:r>
      <w:r w:rsidRPr="00584B78">
        <w:rPr>
          <w:noProof/>
          <w:sz w:val="18"/>
          <w:lang w:val="en-US"/>
        </w:rPr>
        <w:t xml:space="preserve"> M.</w:t>
      </w:r>
      <w:r w:rsidR="00457378">
        <w:rPr>
          <w:noProof/>
          <w:sz w:val="18"/>
          <w:lang w:val="en-US"/>
        </w:rPr>
        <w:t xml:space="preserve">, </w:t>
      </w:r>
      <w:r w:rsidRPr="00584B78">
        <w:rPr>
          <w:noProof/>
          <w:sz w:val="18"/>
          <w:lang w:val="en-US"/>
        </w:rPr>
        <w:t>Timpano</w:t>
      </w:r>
      <w:r w:rsidR="00457378">
        <w:rPr>
          <w:noProof/>
          <w:sz w:val="18"/>
          <w:lang w:val="en-US"/>
        </w:rPr>
        <w:t>,</w:t>
      </w:r>
      <w:r w:rsidRPr="00584B78">
        <w:rPr>
          <w:noProof/>
          <w:sz w:val="18"/>
          <w:lang w:val="en-US"/>
        </w:rPr>
        <w:t xml:space="preserve"> F., </w:t>
      </w:r>
      <w:r w:rsidRPr="00CE750C">
        <w:rPr>
          <w:i/>
          <w:noProof/>
          <w:sz w:val="18"/>
          <w:lang w:val="en-US"/>
        </w:rPr>
        <w:t>The Italian approach to Industry 4.0: policy approach and managerial implications in a SMEs environment</w:t>
      </w:r>
      <w:r w:rsidRPr="00584B78">
        <w:rPr>
          <w:noProof/>
          <w:sz w:val="18"/>
          <w:lang w:val="en-US"/>
        </w:rPr>
        <w:t>, S</w:t>
      </w:r>
      <w:r w:rsidR="00457378">
        <w:rPr>
          <w:noProof/>
          <w:sz w:val="18"/>
          <w:lang w:val="en-US"/>
        </w:rPr>
        <w:t>p</w:t>
      </w:r>
      <w:r w:rsidRPr="00584B78">
        <w:rPr>
          <w:noProof/>
          <w:sz w:val="18"/>
          <w:lang w:val="en-US"/>
        </w:rPr>
        <w:t>ringer-Aedem, 2018</w:t>
      </w:r>
    </w:p>
    <w:p w14:paraId="40A55839" w14:textId="07861D78" w:rsidR="009B5DB3" w:rsidRPr="00584B78" w:rsidRDefault="00584B78" w:rsidP="00584B78">
      <w:pPr>
        <w:numPr>
          <w:ilvl w:val="0"/>
          <w:numId w:val="12"/>
        </w:numPr>
        <w:tabs>
          <w:tab w:val="clear" w:pos="284"/>
        </w:tabs>
        <w:spacing w:before="120" w:line="220" w:lineRule="exact"/>
        <w:rPr>
          <w:noProof/>
          <w:sz w:val="18"/>
        </w:rPr>
      </w:pPr>
      <w:r w:rsidRPr="00584B78">
        <w:rPr>
          <w:noProof/>
          <w:sz w:val="18"/>
        </w:rPr>
        <w:t>Timpano</w:t>
      </w:r>
      <w:r w:rsidR="00457378">
        <w:rPr>
          <w:noProof/>
          <w:sz w:val="18"/>
        </w:rPr>
        <w:t>, F.</w:t>
      </w:r>
      <w:r w:rsidRPr="00584B78">
        <w:rPr>
          <w:noProof/>
          <w:sz w:val="18"/>
        </w:rPr>
        <w:t xml:space="preserve">, </w:t>
      </w:r>
      <w:r w:rsidRPr="00CE750C">
        <w:rPr>
          <w:i/>
          <w:noProof/>
          <w:sz w:val="18"/>
        </w:rPr>
        <w:t>Cluster produttivi e sviluppo locale: il problema dell'unità di analisi</w:t>
      </w:r>
      <w:r w:rsidRPr="00584B78">
        <w:rPr>
          <w:noProof/>
          <w:sz w:val="18"/>
        </w:rPr>
        <w:t xml:space="preserve"> in Ciciott</w:t>
      </w:r>
      <w:r w:rsidR="00457378">
        <w:rPr>
          <w:noProof/>
          <w:sz w:val="18"/>
        </w:rPr>
        <w:t xml:space="preserve">i E. – </w:t>
      </w:r>
      <w:r w:rsidRPr="00584B78">
        <w:rPr>
          <w:noProof/>
          <w:sz w:val="18"/>
        </w:rPr>
        <w:t>Rizzi</w:t>
      </w:r>
      <w:r w:rsidR="00457378">
        <w:rPr>
          <w:noProof/>
          <w:sz w:val="18"/>
        </w:rPr>
        <w:t xml:space="preserve"> P.</w:t>
      </w:r>
      <w:r w:rsidRPr="00584B78">
        <w:rPr>
          <w:noProof/>
          <w:sz w:val="18"/>
        </w:rPr>
        <w:t>, Politiche per lo sviluppo territoriale, Carocci, 2005</w:t>
      </w:r>
    </w:p>
    <w:p w14:paraId="2236561B" w14:textId="33AFA469" w:rsidR="009B5DB3" w:rsidRPr="00D54AA9" w:rsidRDefault="00584B78" w:rsidP="7145481A">
      <w:pPr>
        <w:numPr>
          <w:ilvl w:val="0"/>
          <w:numId w:val="12"/>
        </w:numPr>
        <w:tabs>
          <w:tab w:val="clear" w:pos="284"/>
        </w:tabs>
        <w:spacing w:before="120" w:line="220" w:lineRule="exact"/>
        <w:rPr>
          <w:noProof/>
          <w:sz w:val="18"/>
          <w:szCs w:val="18"/>
          <w:lang w:val="en-US"/>
        </w:rPr>
      </w:pPr>
      <w:r w:rsidRPr="00CE750C">
        <w:rPr>
          <w:noProof/>
          <w:sz w:val="18"/>
          <w:szCs w:val="18"/>
          <w:lang w:val="en-US"/>
        </w:rPr>
        <w:t>Calegari</w:t>
      </w:r>
      <w:r w:rsidR="00457378">
        <w:rPr>
          <w:noProof/>
          <w:sz w:val="18"/>
          <w:szCs w:val="18"/>
          <w:lang w:val="en-US"/>
        </w:rPr>
        <w:t>,</w:t>
      </w:r>
      <w:r w:rsidRPr="00CE750C">
        <w:rPr>
          <w:noProof/>
          <w:sz w:val="18"/>
          <w:szCs w:val="18"/>
          <w:lang w:val="en-US"/>
        </w:rPr>
        <w:t xml:space="preserve"> E.</w:t>
      </w:r>
      <w:r w:rsidR="00457378">
        <w:rPr>
          <w:noProof/>
          <w:sz w:val="18"/>
          <w:szCs w:val="18"/>
          <w:lang w:val="en-US"/>
        </w:rPr>
        <w:t xml:space="preserve">, </w:t>
      </w:r>
      <w:r w:rsidRPr="00CE750C">
        <w:rPr>
          <w:noProof/>
          <w:sz w:val="18"/>
          <w:szCs w:val="18"/>
          <w:lang w:val="en-US"/>
        </w:rPr>
        <w:t>Fabrizi</w:t>
      </w:r>
      <w:r w:rsidR="00457378">
        <w:rPr>
          <w:noProof/>
          <w:sz w:val="18"/>
          <w:szCs w:val="18"/>
          <w:lang w:val="en-US"/>
        </w:rPr>
        <w:t>,</w:t>
      </w:r>
      <w:r w:rsidRPr="00CE750C">
        <w:rPr>
          <w:noProof/>
          <w:sz w:val="18"/>
          <w:szCs w:val="18"/>
          <w:lang w:val="en-US"/>
        </w:rPr>
        <w:t xml:space="preserve"> E.</w:t>
      </w:r>
      <w:r w:rsidR="00457378">
        <w:rPr>
          <w:noProof/>
          <w:sz w:val="18"/>
          <w:szCs w:val="18"/>
          <w:lang w:val="en-US"/>
        </w:rPr>
        <w:t xml:space="preserve">, </w:t>
      </w:r>
      <w:r w:rsidRPr="00CE750C">
        <w:rPr>
          <w:noProof/>
          <w:sz w:val="18"/>
          <w:szCs w:val="18"/>
          <w:lang w:val="en-US"/>
        </w:rPr>
        <w:t>Guastella G.</w:t>
      </w:r>
      <w:r w:rsidR="00457378">
        <w:rPr>
          <w:noProof/>
          <w:sz w:val="18"/>
          <w:szCs w:val="18"/>
          <w:lang w:val="en-US"/>
        </w:rPr>
        <w:t xml:space="preserve">, </w:t>
      </w:r>
      <w:r w:rsidRPr="00CE750C">
        <w:rPr>
          <w:noProof/>
          <w:sz w:val="18"/>
          <w:szCs w:val="18"/>
          <w:lang w:val="en-US"/>
        </w:rPr>
        <w:t xml:space="preserve">Timpano F., </w:t>
      </w:r>
      <w:r w:rsidRPr="00CE750C">
        <w:rPr>
          <w:i/>
          <w:noProof/>
          <w:sz w:val="18"/>
          <w:szCs w:val="18"/>
          <w:lang w:val="en-US"/>
        </w:rPr>
        <w:t>Reconsidering the drivers of territorial innovation: new evidence on the spatial knowledge production function in the EU Regions</w:t>
      </w:r>
      <w:r w:rsidRPr="00CE750C">
        <w:rPr>
          <w:noProof/>
          <w:sz w:val="18"/>
          <w:szCs w:val="18"/>
          <w:lang w:val="en-US"/>
        </w:rPr>
        <w:t>, Rivista Internazionale di scienze sociali, n.3 – 2017</w:t>
      </w:r>
    </w:p>
    <w:p w14:paraId="11A30034" w14:textId="13030106" w:rsidR="00584B78" w:rsidRPr="00584B78" w:rsidRDefault="00584B78" w:rsidP="7145481A">
      <w:pPr>
        <w:tabs>
          <w:tab w:val="clear" w:pos="284"/>
        </w:tabs>
        <w:spacing w:before="120" w:line="220" w:lineRule="exact"/>
        <w:rPr>
          <w:i/>
          <w:iCs/>
          <w:noProof/>
          <w:sz w:val="18"/>
          <w:szCs w:val="18"/>
          <w:lang w:val="en-US"/>
        </w:rPr>
      </w:pPr>
      <w:bookmarkStart w:id="0" w:name="_GoBack"/>
      <w:bookmarkEnd w:id="0"/>
      <w:r w:rsidRPr="7145481A">
        <w:rPr>
          <w:i/>
          <w:iCs/>
          <w:noProof/>
          <w:sz w:val="18"/>
          <w:szCs w:val="18"/>
          <w:lang w:val="en-US"/>
        </w:rPr>
        <w:t>Rapporti</w:t>
      </w:r>
    </w:p>
    <w:p w14:paraId="354B78E6" w14:textId="744318BF" w:rsidR="009B5DB3" w:rsidRPr="00584B78" w:rsidRDefault="00584B78" w:rsidP="7145481A">
      <w:pPr>
        <w:numPr>
          <w:ilvl w:val="0"/>
          <w:numId w:val="11"/>
        </w:numPr>
        <w:tabs>
          <w:tab w:val="clear" w:pos="284"/>
        </w:tabs>
        <w:spacing w:before="120" w:line="220" w:lineRule="exact"/>
        <w:rPr>
          <w:noProof/>
          <w:sz w:val="18"/>
          <w:szCs w:val="18"/>
          <w:lang w:val="en-US"/>
        </w:rPr>
      </w:pPr>
      <w:r w:rsidRPr="7145481A">
        <w:rPr>
          <w:noProof/>
          <w:sz w:val="18"/>
          <w:szCs w:val="18"/>
          <w:lang w:val="en-US"/>
        </w:rPr>
        <w:t>“</w:t>
      </w:r>
      <w:r w:rsidRPr="00CE750C">
        <w:rPr>
          <w:i/>
          <w:noProof/>
          <w:sz w:val="18"/>
          <w:szCs w:val="18"/>
          <w:lang w:val="en-US"/>
        </w:rPr>
        <w:t>My region, my Europe, our future -Seventh Report on Economic, social and territorial cohesion in EU</w:t>
      </w:r>
      <w:r w:rsidRPr="7145481A">
        <w:rPr>
          <w:noProof/>
          <w:sz w:val="18"/>
          <w:szCs w:val="18"/>
          <w:lang w:val="en-US"/>
        </w:rPr>
        <w:t>”, European Commission, 2017</w:t>
      </w:r>
    </w:p>
    <w:p w14:paraId="2B69D743" w14:textId="4D1957F7" w:rsidR="009B5DB3" w:rsidRPr="00584B78" w:rsidDel="00D54AA9" w:rsidRDefault="00584B78" w:rsidP="7145481A">
      <w:pPr>
        <w:numPr>
          <w:ilvl w:val="0"/>
          <w:numId w:val="11"/>
        </w:numPr>
        <w:tabs>
          <w:tab w:val="clear" w:pos="284"/>
        </w:tabs>
        <w:spacing w:before="120" w:line="220" w:lineRule="exact"/>
        <w:rPr>
          <w:noProof/>
          <w:sz w:val="18"/>
          <w:szCs w:val="18"/>
        </w:rPr>
      </w:pPr>
      <w:r w:rsidRPr="7145481A">
        <w:rPr>
          <w:noProof/>
          <w:sz w:val="18"/>
          <w:szCs w:val="18"/>
        </w:rPr>
        <w:t>“</w:t>
      </w:r>
      <w:r w:rsidRPr="00CE750C">
        <w:rPr>
          <w:i/>
          <w:noProof/>
          <w:sz w:val="18"/>
          <w:szCs w:val="18"/>
        </w:rPr>
        <w:t>Investimenti per l'occupazione e la crescita. Promuovere lo sviluppo e la buona governance nelle città e regioni dell'UE</w:t>
      </w:r>
      <w:r w:rsidRPr="7145481A">
        <w:rPr>
          <w:noProof/>
          <w:sz w:val="18"/>
          <w:szCs w:val="18"/>
        </w:rPr>
        <w:t>”, Sesta relazione sulla coesione economica sociale e territoriale in Europa, European Commission</w:t>
      </w:r>
    </w:p>
    <w:p w14:paraId="1673F8AA" w14:textId="77777777" w:rsidR="009B5DB3" w:rsidRPr="00584B78" w:rsidRDefault="00584B78" w:rsidP="00584B78">
      <w:pPr>
        <w:numPr>
          <w:ilvl w:val="0"/>
          <w:numId w:val="11"/>
        </w:numPr>
        <w:tabs>
          <w:tab w:val="clear" w:pos="284"/>
        </w:tabs>
        <w:spacing w:before="120" w:line="220" w:lineRule="exact"/>
        <w:rPr>
          <w:noProof/>
          <w:sz w:val="18"/>
          <w:lang w:val="en-US"/>
        </w:rPr>
      </w:pPr>
      <w:r w:rsidRPr="00CE750C">
        <w:rPr>
          <w:i/>
          <w:noProof/>
          <w:sz w:val="18"/>
          <w:lang w:val="en-US"/>
        </w:rPr>
        <w:t>Territorial agenda put in practice 2020 - Enhancing the efficiency and effectiveness of Cohesion Policy by a place-based approach</w:t>
      </w:r>
      <w:r w:rsidRPr="00584B78">
        <w:rPr>
          <w:noProof/>
          <w:sz w:val="18"/>
          <w:lang w:val="en-US"/>
        </w:rPr>
        <w:t xml:space="preserve"> - Volume I – Synthesis Report, Centre for Industrial Studies, 2015, EU</w:t>
      </w:r>
    </w:p>
    <w:p w14:paraId="7A1744A2" w14:textId="77777777" w:rsidR="009B5DB3" w:rsidRPr="00584B78" w:rsidRDefault="00584B78" w:rsidP="00584B78">
      <w:pPr>
        <w:numPr>
          <w:ilvl w:val="0"/>
          <w:numId w:val="11"/>
        </w:numPr>
        <w:tabs>
          <w:tab w:val="clear" w:pos="284"/>
        </w:tabs>
        <w:spacing w:before="120" w:line="220" w:lineRule="exact"/>
        <w:rPr>
          <w:noProof/>
          <w:sz w:val="18"/>
          <w:lang w:val="en-US"/>
        </w:rPr>
      </w:pPr>
      <w:r w:rsidRPr="00CE750C">
        <w:rPr>
          <w:i/>
          <w:noProof/>
          <w:sz w:val="18"/>
          <w:lang w:val="en-US"/>
        </w:rPr>
        <w:t>Territorial agenda put in practice 2020 - Enhancing the efficiency and effectiveness of Cohesion Policy by a place-based approach</w:t>
      </w:r>
      <w:r w:rsidRPr="00584B78">
        <w:rPr>
          <w:noProof/>
          <w:sz w:val="18"/>
          <w:lang w:val="en-US"/>
        </w:rPr>
        <w:t xml:space="preserve"> - Volume II – Case studies, Centre for Industrial Studies, 2015, EU</w:t>
      </w:r>
    </w:p>
    <w:p w14:paraId="69B0E180" w14:textId="7DF02916" w:rsidR="009B5DB3" w:rsidRPr="00584B78" w:rsidDel="00D54AA9" w:rsidRDefault="00584B78" w:rsidP="7145481A">
      <w:pPr>
        <w:numPr>
          <w:ilvl w:val="0"/>
          <w:numId w:val="11"/>
        </w:numPr>
        <w:tabs>
          <w:tab w:val="clear" w:pos="284"/>
        </w:tabs>
        <w:spacing w:before="120" w:line="220" w:lineRule="exact"/>
        <w:rPr>
          <w:noProof/>
          <w:sz w:val="18"/>
          <w:szCs w:val="18"/>
          <w:lang w:val="en-US"/>
        </w:rPr>
      </w:pPr>
      <w:r w:rsidRPr="00CE750C">
        <w:rPr>
          <w:i/>
          <w:noProof/>
          <w:sz w:val="18"/>
          <w:szCs w:val="18"/>
          <w:lang w:val="en-US"/>
        </w:rPr>
        <w:t>Global Competitiveness Report</w:t>
      </w:r>
      <w:r w:rsidRPr="7145481A">
        <w:rPr>
          <w:noProof/>
          <w:sz w:val="18"/>
          <w:szCs w:val="18"/>
          <w:lang w:val="en-US"/>
        </w:rPr>
        <w:t xml:space="preserve"> 2017/2018, World Economic Forum, 2017</w:t>
      </w:r>
    </w:p>
    <w:p w14:paraId="41C7E602" w14:textId="086DDEE4" w:rsidR="009B5DB3" w:rsidRPr="00584B78" w:rsidRDefault="00584B78" w:rsidP="7145481A">
      <w:pPr>
        <w:numPr>
          <w:ilvl w:val="0"/>
          <w:numId w:val="11"/>
        </w:numPr>
        <w:tabs>
          <w:tab w:val="clear" w:pos="284"/>
        </w:tabs>
        <w:spacing w:before="120" w:line="220" w:lineRule="exact"/>
        <w:rPr>
          <w:noProof/>
          <w:sz w:val="18"/>
          <w:szCs w:val="18"/>
          <w:lang w:val="en-US"/>
        </w:rPr>
      </w:pPr>
      <w:r w:rsidRPr="00CE750C">
        <w:rPr>
          <w:i/>
          <w:noProof/>
          <w:sz w:val="18"/>
          <w:szCs w:val="18"/>
          <w:lang w:val="en-US"/>
        </w:rPr>
        <w:t>Global Competitiveness Report</w:t>
      </w:r>
      <w:r w:rsidRPr="7145481A">
        <w:rPr>
          <w:noProof/>
          <w:sz w:val="18"/>
          <w:szCs w:val="18"/>
          <w:lang w:val="en-US"/>
        </w:rPr>
        <w:t xml:space="preserve"> 20</w:t>
      </w:r>
      <w:r w:rsidR="00457378">
        <w:rPr>
          <w:noProof/>
          <w:sz w:val="18"/>
          <w:szCs w:val="18"/>
          <w:lang w:val="en-US"/>
        </w:rPr>
        <w:t>20</w:t>
      </w:r>
      <w:r w:rsidRPr="7145481A">
        <w:rPr>
          <w:noProof/>
          <w:sz w:val="18"/>
          <w:szCs w:val="18"/>
          <w:lang w:val="en-US"/>
        </w:rPr>
        <w:t>, World Economic Forum, 20</w:t>
      </w:r>
      <w:r w:rsidR="00457378">
        <w:rPr>
          <w:noProof/>
          <w:sz w:val="18"/>
          <w:szCs w:val="18"/>
          <w:lang w:val="en-US"/>
        </w:rPr>
        <w:t>20</w:t>
      </w:r>
    </w:p>
    <w:p w14:paraId="2CCFB3E5" w14:textId="0886693B" w:rsidR="009B5DB3" w:rsidRPr="00584B78" w:rsidRDefault="00584B78" w:rsidP="7145481A">
      <w:pPr>
        <w:numPr>
          <w:ilvl w:val="0"/>
          <w:numId w:val="11"/>
        </w:numPr>
        <w:tabs>
          <w:tab w:val="clear" w:pos="284"/>
        </w:tabs>
        <w:spacing w:before="120" w:line="220" w:lineRule="exact"/>
        <w:rPr>
          <w:noProof/>
          <w:sz w:val="18"/>
          <w:szCs w:val="18"/>
          <w:lang w:val="en-US"/>
        </w:rPr>
      </w:pPr>
      <w:r w:rsidRPr="7145481A">
        <w:rPr>
          <w:noProof/>
          <w:sz w:val="18"/>
          <w:szCs w:val="18"/>
          <w:lang w:val="en-US"/>
        </w:rPr>
        <w:t>OECD</w:t>
      </w:r>
      <w:r w:rsidR="0077634C">
        <w:rPr>
          <w:noProof/>
          <w:sz w:val="18"/>
          <w:szCs w:val="18"/>
          <w:lang w:val="en-US"/>
        </w:rPr>
        <w:t>,</w:t>
      </w:r>
      <w:r w:rsidRPr="7145481A">
        <w:rPr>
          <w:noProof/>
          <w:sz w:val="18"/>
          <w:szCs w:val="18"/>
          <w:lang w:val="en-US"/>
        </w:rPr>
        <w:t xml:space="preserve"> </w:t>
      </w:r>
      <w:r w:rsidRPr="00CE750C">
        <w:rPr>
          <w:i/>
          <w:noProof/>
          <w:sz w:val="18"/>
          <w:szCs w:val="18"/>
          <w:lang w:val="en-US"/>
        </w:rPr>
        <w:t>Science, Technology and Industry Scoreboard</w:t>
      </w:r>
      <w:r w:rsidRPr="7145481A">
        <w:rPr>
          <w:noProof/>
          <w:sz w:val="18"/>
          <w:szCs w:val="18"/>
          <w:lang w:val="en-US"/>
        </w:rPr>
        <w:t xml:space="preserve"> 2017                  </w:t>
      </w:r>
    </w:p>
    <w:p w14:paraId="09E45D7D" w14:textId="050E78D8" w:rsidR="00D54AA9" w:rsidRPr="00CE750C" w:rsidRDefault="00584B78" w:rsidP="7145481A">
      <w:pPr>
        <w:numPr>
          <w:ilvl w:val="0"/>
          <w:numId w:val="11"/>
        </w:numPr>
        <w:tabs>
          <w:tab w:val="clear" w:pos="284"/>
        </w:tabs>
        <w:spacing w:before="120" w:line="220" w:lineRule="exact"/>
        <w:rPr>
          <w:rFonts w:eastAsia="Times" w:cs="Times"/>
          <w:noProof/>
          <w:sz w:val="18"/>
          <w:szCs w:val="18"/>
          <w:lang w:val="en-US"/>
        </w:rPr>
      </w:pPr>
      <w:r w:rsidRPr="7145481A">
        <w:rPr>
          <w:noProof/>
          <w:sz w:val="18"/>
          <w:szCs w:val="18"/>
          <w:lang w:val="en-US"/>
        </w:rPr>
        <w:t xml:space="preserve">EU Commission, </w:t>
      </w:r>
      <w:r w:rsidRPr="00CE750C">
        <w:rPr>
          <w:i/>
          <w:noProof/>
          <w:sz w:val="18"/>
          <w:szCs w:val="18"/>
          <w:lang w:val="en-US"/>
        </w:rPr>
        <w:t>European Innovation Scoreboard 2018</w:t>
      </w:r>
      <w:r w:rsidRPr="7145481A">
        <w:rPr>
          <w:noProof/>
          <w:sz w:val="18"/>
          <w:szCs w:val="18"/>
          <w:lang w:val="en-US"/>
        </w:rPr>
        <w:t>, The digital transformation</w:t>
      </w:r>
    </w:p>
    <w:p w14:paraId="173E9EA2" w14:textId="7E6020DF" w:rsidR="00457378" w:rsidRPr="00CE750C" w:rsidRDefault="0077634C" w:rsidP="7145481A">
      <w:pPr>
        <w:numPr>
          <w:ilvl w:val="0"/>
          <w:numId w:val="11"/>
        </w:numPr>
        <w:tabs>
          <w:tab w:val="clear" w:pos="284"/>
        </w:tabs>
        <w:spacing w:before="120" w:line="220" w:lineRule="exact"/>
        <w:rPr>
          <w:rFonts w:eastAsia="Times" w:cs="Times"/>
          <w:noProof/>
          <w:sz w:val="18"/>
          <w:szCs w:val="18"/>
        </w:rPr>
      </w:pPr>
      <w:r>
        <w:rPr>
          <w:rFonts w:eastAsia="Times" w:cs="Times"/>
          <w:noProof/>
          <w:sz w:val="18"/>
          <w:szCs w:val="18"/>
        </w:rPr>
        <w:lastRenderedPageBreak/>
        <w:t xml:space="preserve">ASVIS, </w:t>
      </w:r>
      <w:r w:rsidR="00457378" w:rsidRPr="00CE750C">
        <w:rPr>
          <w:rFonts w:eastAsia="Times" w:cs="Times"/>
          <w:i/>
          <w:noProof/>
          <w:sz w:val="18"/>
          <w:szCs w:val="18"/>
        </w:rPr>
        <w:t>Rapporto ASVIS sullo sviluppo sostenibile</w:t>
      </w:r>
      <w:r w:rsidR="00457378">
        <w:rPr>
          <w:rFonts w:eastAsia="Times" w:cs="Times"/>
          <w:noProof/>
          <w:sz w:val="18"/>
          <w:szCs w:val="18"/>
        </w:rPr>
        <w:t>, 2020</w:t>
      </w:r>
    </w:p>
    <w:p w14:paraId="25564D99" w14:textId="77777777" w:rsidR="000717E5" w:rsidRPr="00CE750C" w:rsidRDefault="000717E5" w:rsidP="002B431B">
      <w:pPr>
        <w:tabs>
          <w:tab w:val="clear" w:pos="284"/>
        </w:tabs>
        <w:spacing w:line="220" w:lineRule="exact"/>
        <w:rPr>
          <w:noProof/>
          <w:sz w:val="18"/>
          <w:szCs w:val="18"/>
        </w:rPr>
      </w:pPr>
    </w:p>
    <w:p w14:paraId="7AEBAB10" w14:textId="77777777" w:rsidR="002B431B" w:rsidRPr="002B431B" w:rsidRDefault="002B431B" w:rsidP="000717E5">
      <w:pPr>
        <w:spacing w:before="120" w:line="220" w:lineRule="exact"/>
        <w:rPr>
          <w:b/>
          <w:i/>
          <w:sz w:val="18"/>
        </w:rPr>
      </w:pPr>
      <w:r w:rsidRPr="002B431B">
        <w:rPr>
          <w:b/>
          <w:i/>
          <w:sz w:val="18"/>
        </w:rPr>
        <w:t>DIDATTICA DEL CORSO</w:t>
      </w:r>
    </w:p>
    <w:p w14:paraId="3E0E85C4" w14:textId="1CB7A0BA" w:rsidR="002B431B" w:rsidRPr="002B431B" w:rsidRDefault="002B431B" w:rsidP="000717E5">
      <w:pPr>
        <w:tabs>
          <w:tab w:val="clear" w:pos="284"/>
        </w:tabs>
        <w:spacing w:before="120" w:line="220" w:lineRule="exact"/>
        <w:rPr>
          <w:noProof/>
          <w:sz w:val="18"/>
        </w:rPr>
      </w:pPr>
      <w:r w:rsidRPr="002B431B">
        <w:rPr>
          <w:noProof/>
          <w:sz w:val="18"/>
        </w:rPr>
        <w:t>La didattic</w:t>
      </w:r>
      <w:r w:rsidR="00F7769D">
        <w:rPr>
          <w:noProof/>
          <w:sz w:val="18"/>
        </w:rPr>
        <w:t xml:space="preserve">a è basata su lezioni frontali, seminari e </w:t>
      </w:r>
      <w:r w:rsidRPr="002B431B">
        <w:rPr>
          <w:noProof/>
          <w:sz w:val="18"/>
        </w:rPr>
        <w:t xml:space="preserve"> studio di casi. Saranno anche organizzate delle presentazioni degli studenti su argomenti del corso e momenti di valutazione intermedia.</w:t>
      </w:r>
      <w:r w:rsidR="00584B78">
        <w:rPr>
          <w:noProof/>
          <w:sz w:val="18"/>
        </w:rPr>
        <w:t xml:space="preserve"> Infine, delle forme di progettazione di politiche saranno implementate anche in forma di hackaton.</w:t>
      </w:r>
    </w:p>
    <w:p w14:paraId="4E2E7AE8" w14:textId="32128DB7" w:rsidR="002B431B" w:rsidRPr="002B431B" w:rsidRDefault="002B431B" w:rsidP="002B431B">
      <w:pPr>
        <w:spacing w:before="240" w:after="120" w:line="220" w:lineRule="exact"/>
        <w:rPr>
          <w:b/>
          <w:i/>
          <w:sz w:val="18"/>
        </w:rPr>
      </w:pPr>
      <w:r w:rsidRPr="002B431B">
        <w:rPr>
          <w:b/>
          <w:i/>
          <w:sz w:val="18"/>
        </w:rPr>
        <w:t xml:space="preserve">METODO </w:t>
      </w:r>
      <w:r w:rsidR="00DC73B0">
        <w:rPr>
          <w:b/>
          <w:i/>
          <w:sz w:val="18"/>
        </w:rPr>
        <w:t xml:space="preserve">E CRITERI </w:t>
      </w:r>
      <w:r w:rsidRPr="002B431B">
        <w:rPr>
          <w:b/>
          <w:i/>
          <w:sz w:val="18"/>
        </w:rPr>
        <w:t>DI VALUTAZIONE</w:t>
      </w:r>
    </w:p>
    <w:p w14:paraId="682DF3CA" w14:textId="77777777" w:rsidR="002B431B" w:rsidRDefault="005D3673" w:rsidP="556F5354">
      <w:pPr>
        <w:tabs>
          <w:tab w:val="clear" w:pos="284"/>
        </w:tabs>
        <w:spacing w:line="220" w:lineRule="exact"/>
        <w:rPr>
          <w:noProof/>
          <w:sz w:val="18"/>
          <w:szCs w:val="18"/>
        </w:rPr>
      </w:pPr>
      <w:r w:rsidRPr="556F5354">
        <w:rPr>
          <w:noProof/>
          <w:sz w:val="18"/>
          <w:szCs w:val="18"/>
        </w:rPr>
        <w:t>La valutazione è distinta tra studenti frequentanti che sostengono due prove intermedie e studenti non frequentanti che sostengono l’esame in un’unica soluzione.</w:t>
      </w:r>
    </w:p>
    <w:p w14:paraId="45EE8099" w14:textId="6AC794A4" w:rsidR="005D3673" w:rsidRDefault="005D3673" w:rsidP="002B431B">
      <w:pPr>
        <w:tabs>
          <w:tab w:val="clear" w:pos="284"/>
        </w:tabs>
        <w:spacing w:line="220" w:lineRule="exact"/>
        <w:rPr>
          <w:noProof/>
          <w:sz w:val="18"/>
        </w:rPr>
      </w:pPr>
      <w:r>
        <w:rPr>
          <w:noProof/>
          <w:sz w:val="18"/>
        </w:rPr>
        <w:t xml:space="preserve">Il primo gruppo di studenti dovrà rispondere a due domande in ognuna delle prove intermedie (da scegliersi tra due alternative per ogni domanda). Per la prima prova intermedia saranno proposte domande </w:t>
      </w:r>
      <w:r w:rsidR="00D52AF0">
        <w:rPr>
          <w:noProof/>
          <w:sz w:val="18"/>
        </w:rPr>
        <w:t xml:space="preserve">sul primo modulo </w:t>
      </w:r>
      <w:r>
        <w:rPr>
          <w:noProof/>
          <w:sz w:val="18"/>
        </w:rPr>
        <w:t xml:space="preserve"> (due per ogni parte da cui scegliere due domande) e per la seconda parte saranno proposte domande </w:t>
      </w:r>
      <w:r w:rsidR="00D52AF0">
        <w:rPr>
          <w:noProof/>
          <w:sz w:val="18"/>
        </w:rPr>
        <w:t>sul secondo modulo</w:t>
      </w:r>
      <w:r>
        <w:rPr>
          <w:noProof/>
          <w:sz w:val="18"/>
        </w:rPr>
        <w:t xml:space="preserve"> (due sulle politiche a sostegno dell’innovazione e due </w:t>
      </w:r>
      <w:r w:rsidR="00D52AF0">
        <w:rPr>
          <w:noProof/>
          <w:sz w:val="18"/>
        </w:rPr>
        <w:t>sulle politiche per la digitalizzazione</w:t>
      </w:r>
      <w:r>
        <w:rPr>
          <w:noProof/>
          <w:sz w:val="18"/>
        </w:rPr>
        <w:t xml:space="preserve">). </w:t>
      </w:r>
      <w:r w:rsidR="00F7769D">
        <w:rPr>
          <w:noProof/>
          <w:sz w:val="18"/>
        </w:rPr>
        <w:t>Il tempo per ogni prova intermedia è di 90’.</w:t>
      </w:r>
    </w:p>
    <w:p w14:paraId="69C83CDB" w14:textId="27133FA1" w:rsidR="005D3673" w:rsidRDefault="005D3673" w:rsidP="002B431B">
      <w:pPr>
        <w:tabs>
          <w:tab w:val="clear" w:pos="284"/>
        </w:tabs>
        <w:spacing w:line="220" w:lineRule="exact"/>
        <w:rPr>
          <w:noProof/>
          <w:sz w:val="18"/>
        </w:rPr>
      </w:pPr>
      <w:r>
        <w:rPr>
          <w:noProof/>
          <w:sz w:val="18"/>
        </w:rPr>
        <w:t xml:space="preserve">Gli studenti frequentanti </w:t>
      </w:r>
      <w:r w:rsidR="00457378">
        <w:rPr>
          <w:noProof/>
          <w:sz w:val="18"/>
        </w:rPr>
        <w:t xml:space="preserve">potranno partecipare al Laboratorio Next Generation EU che prevede la realizzazione di: un assessment nel primo semestre di approfondimento di una policy o di un programma di interventi e di un esercizio di proposta di correzioni di politiche o di promozione di programmi di investimento, coerenti con gli orientamenti del Next Generation EU. </w:t>
      </w:r>
      <w:r>
        <w:rPr>
          <w:noProof/>
          <w:sz w:val="18"/>
        </w:rPr>
        <w:t xml:space="preserve"> </w:t>
      </w:r>
      <w:r w:rsidR="00457378">
        <w:rPr>
          <w:noProof/>
          <w:sz w:val="18"/>
        </w:rPr>
        <w:t xml:space="preserve">I lavori saranno presentati nell’ambito di sessioni di discussione e di confronto e saranno oggetto di un Hackathon che permetterà un confronto con esperti e professionisti. </w:t>
      </w:r>
    </w:p>
    <w:p w14:paraId="36C76543" w14:textId="339C41DF" w:rsidR="00457378" w:rsidRDefault="00457378" w:rsidP="002B431B">
      <w:pPr>
        <w:tabs>
          <w:tab w:val="clear" w:pos="284"/>
        </w:tabs>
        <w:spacing w:line="220" w:lineRule="exact"/>
        <w:rPr>
          <w:noProof/>
          <w:sz w:val="18"/>
        </w:rPr>
      </w:pPr>
      <w:r>
        <w:rPr>
          <w:noProof/>
          <w:sz w:val="18"/>
        </w:rPr>
        <w:t>Per i frequentanti il voto complessivo sarà dato:</w:t>
      </w:r>
    </w:p>
    <w:p w14:paraId="0C97C8E7" w14:textId="41E63298" w:rsidR="00457378" w:rsidRDefault="00B86441" w:rsidP="00457378">
      <w:pPr>
        <w:pStyle w:val="Paragrafoelenco"/>
        <w:numPr>
          <w:ilvl w:val="0"/>
          <w:numId w:val="5"/>
        </w:numPr>
        <w:tabs>
          <w:tab w:val="clear" w:pos="284"/>
        </w:tabs>
        <w:spacing w:line="220" w:lineRule="exact"/>
        <w:rPr>
          <w:noProof/>
          <w:sz w:val="18"/>
        </w:rPr>
      </w:pPr>
      <w:r>
        <w:rPr>
          <w:noProof/>
          <w:sz w:val="18"/>
        </w:rPr>
        <w:t>Voto delle prove intermedie (60%);</w:t>
      </w:r>
    </w:p>
    <w:p w14:paraId="372FDA58" w14:textId="718BE31D" w:rsidR="00B86441" w:rsidRDefault="00B86441" w:rsidP="00457378">
      <w:pPr>
        <w:pStyle w:val="Paragrafoelenco"/>
        <w:numPr>
          <w:ilvl w:val="0"/>
          <w:numId w:val="5"/>
        </w:numPr>
        <w:tabs>
          <w:tab w:val="clear" w:pos="284"/>
        </w:tabs>
        <w:spacing w:line="220" w:lineRule="exact"/>
        <w:rPr>
          <w:noProof/>
          <w:sz w:val="18"/>
        </w:rPr>
      </w:pPr>
      <w:r>
        <w:rPr>
          <w:noProof/>
          <w:sz w:val="18"/>
        </w:rPr>
        <w:t>Voto dell’assessment del primo semestre di approfondimento (15%)</w:t>
      </w:r>
    </w:p>
    <w:p w14:paraId="1E94CA6B" w14:textId="35461740" w:rsidR="00B86441" w:rsidRPr="00CE750C" w:rsidRDefault="00B86441" w:rsidP="00CE750C">
      <w:pPr>
        <w:pStyle w:val="Paragrafoelenco"/>
        <w:numPr>
          <w:ilvl w:val="0"/>
          <w:numId w:val="5"/>
        </w:numPr>
        <w:tabs>
          <w:tab w:val="clear" w:pos="284"/>
        </w:tabs>
        <w:spacing w:line="220" w:lineRule="exact"/>
        <w:rPr>
          <w:noProof/>
          <w:sz w:val="18"/>
        </w:rPr>
      </w:pPr>
      <w:r>
        <w:rPr>
          <w:noProof/>
          <w:sz w:val="18"/>
        </w:rPr>
        <w:t>Voto sul lavoro per l’Hackathon (25%)</w:t>
      </w:r>
    </w:p>
    <w:p w14:paraId="41D37E24" w14:textId="77777777" w:rsidR="00F7769D" w:rsidRDefault="00F7769D" w:rsidP="002B431B">
      <w:pPr>
        <w:tabs>
          <w:tab w:val="clear" w:pos="284"/>
        </w:tabs>
        <w:spacing w:line="220" w:lineRule="exact"/>
        <w:rPr>
          <w:noProof/>
          <w:sz w:val="18"/>
        </w:rPr>
      </w:pPr>
    </w:p>
    <w:p w14:paraId="699B0A16" w14:textId="287CD995" w:rsidR="00F7769D" w:rsidRDefault="00F7769D" w:rsidP="71BEFABE">
      <w:pPr>
        <w:tabs>
          <w:tab w:val="clear" w:pos="284"/>
        </w:tabs>
        <w:spacing w:line="220" w:lineRule="exact"/>
        <w:rPr>
          <w:noProof/>
          <w:sz w:val="18"/>
          <w:szCs w:val="18"/>
        </w:rPr>
      </w:pPr>
      <w:r w:rsidRPr="71BEFABE">
        <w:rPr>
          <w:noProof/>
          <w:sz w:val="18"/>
          <w:szCs w:val="18"/>
        </w:rPr>
        <w:t xml:space="preserve">Gli studenti non frequentanti dovranno rispondere a cinque domande su </w:t>
      </w:r>
      <w:r w:rsidR="00297EBF" w:rsidRPr="71BEFABE">
        <w:rPr>
          <w:noProof/>
          <w:sz w:val="18"/>
          <w:szCs w:val="18"/>
        </w:rPr>
        <w:t xml:space="preserve">otto </w:t>
      </w:r>
      <w:r w:rsidRPr="71BEFABE">
        <w:rPr>
          <w:noProof/>
          <w:sz w:val="18"/>
          <w:szCs w:val="18"/>
        </w:rPr>
        <w:t>alternative proposte nel corso dell’esame finale (tempo concesso 2h30’).</w:t>
      </w:r>
    </w:p>
    <w:p w14:paraId="6FB20193" w14:textId="1AF3685B" w:rsidR="00D52AF0" w:rsidRPr="00C27DF5" w:rsidRDefault="00D52AF0" w:rsidP="002B431B">
      <w:pPr>
        <w:tabs>
          <w:tab w:val="clear" w:pos="284"/>
        </w:tabs>
        <w:spacing w:line="220" w:lineRule="exact"/>
        <w:rPr>
          <w:b/>
          <w:i/>
          <w:noProof/>
          <w:sz w:val="18"/>
        </w:rPr>
      </w:pPr>
    </w:p>
    <w:p w14:paraId="06F71998" w14:textId="231ECE4B" w:rsidR="00D52AF0" w:rsidRDefault="00D52AF0" w:rsidP="002B431B">
      <w:pPr>
        <w:tabs>
          <w:tab w:val="clear" w:pos="284"/>
        </w:tabs>
        <w:spacing w:line="220" w:lineRule="exact"/>
        <w:rPr>
          <w:noProof/>
          <w:sz w:val="18"/>
        </w:rPr>
      </w:pPr>
      <w:r w:rsidRPr="00C27DF5">
        <w:rPr>
          <w:b/>
          <w:i/>
          <w:noProof/>
          <w:sz w:val="18"/>
        </w:rPr>
        <w:t>AVVERTENZE E PREREQUISITI</w:t>
      </w:r>
    </w:p>
    <w:p w14:paraId="6FDCCA3E" w14:textId="044792CE" w:rsidR="00D52AF0" w:rsidRDefault="00D52AF0" w:rsidP="002B431B">
      <w:pPr>
        <w:tabs>
          <w:tab w:val="clear" w:pos="284"/>
        </w:tabs>
        <w:spacing w:line="220" w:lineRule="exact"/>
        <w:rPr>
          <w:noProof/>
          <w:sz w:val="18"/>
        </w:rPr>
      </w:pPr>
    </w:p>
    <w:p w14:paraId="48D79A10" w14:textId="5DAE26E7" w:rsidR="00D52AF0" w:rsidRPr="002B431B" w:rsidRDefault="00D52AF0" w:rsidP="002B431B">
      <w:pPr>
        <w:tabs>
          <w:tab w:val="clear" w:pos="284"/>
        </w:tabs>
        <w:spacing w:line="220" w:lineRule="exact"/>
        <w:rPr>
          <w:noProof/>
          <w:sz w:val="18"/>
        </w:rPr>
      </w:pPr>
      <w:r>
        <w:rPr>
          <w:noProof/>
          <w:sz w:val="18"/>
        </w:rPr>
        <w:t>L’esame ha come prerequisiti la conoscenza delle basi della microeconomia e della macroeconomia.</w:t>
      </w:r>
    </w:p>
    <w:p w14:paraId="7BDED41E" w14:textId="77777777" w:rsidR="00177EFB" w:rsidRDefault="00177EFB" w:rsidP="00302588">
      <w:pPr>
        <w:pStyle w:val="Testo2"/>
      </w:pPr>
    </w:p>
    <w:p w14:paraId="2E7C72D8" w14:textId="77777777" w:rsidR="009B0237" w:rsidRDefault="009B0237" w:rsidP="009B0237">
      <w:pPr>
        <w:pStyle w:val="Testo2"/>
        <w:ind w:firstLine="0"/>
        <w:rPr>
          <w:b/>
          <w:i/>
        </w:rPr>
      </w:pPr>
      <w:r>
        <w:rPr>
          <w:b/>
          <w:i/>
        </w:rPr>
        <w:t>ORARIO E LUOGO DI RICEVIMENTO DEGLI STUDENTI</w:t>
      </w:r>
    </w:p>
    <w:p w14:paraId="774E8A54" w14:textId="77777777" w:rsidR="009B0237" w:rsidRDefault="009B0237" w:rsidP="009B0237">
      <w:pPr>
        <w:pStyle w:val="Testo2"/>
        <w:ind w:firstLine="0"/>
      </w:pPr>
    </w:p>
    <w:p w14:paraId="75429DFF" w14:textId="0B30A94C" w:rsidR="009B0237" w:rsidRPr="003F32D8" w:rsidRDefault="00B86441" w:rsidP="003F32D8">
      <w:pPr>
        <w:pStyle w:val="Testo2"/>
      </w:pPr>
      <w:r>
        <w:t>Il docente riceve al giovedì dalle 14,30 alle 16 per tutto l’anno (tranne il mese di agosto).</w:t>
      </w:r>
    </w:p>
    <w:sectPr w:rsidR="009B0237" w:rsidRPr="003F32D8">
      <w:pgSz w:w="11906" w:h="16838" w:code="9"/>
      <w:pgMar w:top="3515" w:right="2608" w:bottom="3515" w:left="260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391841" w16cex:dateUtc="2020-07-15T17:20:00.51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A86B6" w16cid:durableId="7A3918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4A4F7" w14:textId="77777777" w:rsidR="00CD3A0E" w:rsidRDefault="00CD3A0E" w:rsidP="00CD3A0E">
      <w:pPr>
        <w:spacing w:line="240" w:lineRule="auto"/>
      </w:pPr>
      <w:r>
        <w:separator/>
      </w:r>
    </w:p>
  </w:endnote>
  <w:endnote w:type="continuationSeparator" w:id="0">
    <w:p w14:paraId="78F99216" w14:textId="77777777" w:rsidR="00CD3A0E" w:rsidRDefault="00CD3A0E" w:rsidP="00CD3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06019" w14:textId="77777777" w:rsidR="00CD3A0E" w:rsidRDefault="00CD3A0E" w:rsidP="00CD3A0E">
      <w:pPr>
        <w:spacing w:line="240" w:lineRule="auto"/>
      </w:pPr>
      <w:r>
        <w:separator/>
      </w:r>
    </w:p>
  </w:footnote>
  <w:footnote w:type="continuationSeparator" w:id="0">
    <w:p w14:paraId="18CA2B37" w14:textId="77777777" w:rsidR="00CD3A0E" w:rsidRDefault="00CD3A0E" w:rsidP="00CD3A0E">
      <w:pPr>
        <w:spacing w:line="240" w:lineRule="auto"/>
      </w:pPr>
      <w:r>
        <w:continuationSeparator/>
      </w:r>
    </w:p>
  </w:footnote>
  <w:footnote w:id="1">
    <w:p w14:paraId="471E991C" w14:textId="7AE3BC74" w:rsidR="00CD3A0E" w:rsidRDefault="00CD3A0E">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72A"/>
    <w:multiLevelType w:val="hybridMultilevel"/>
    <w:tmpl w:val="18583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FC7B71"/>
    <w:multiLevelType w:val="hybridMultilevel"/>
    <w:tmpl w:val="CA3A9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3A49AA"/>
    <w:multiLevelType w:val="hybridMultilevel"/>
    <w:tmpl w:val="784A44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B7050"/>
    <w:multiLevelType w:val="hybridMultilevel"/>
    <w:tmpl w:val="0BC031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53BAA"/>
    <w:multiLevelType w:val="hybridMultilevel"/>
    <w:tmpl w:val="A64C1FD8"/>
    <w:lvl w:ilvl="0" w:tplc="FD22A9DE">
      <w:numFmt w:val="none"/>
      <w:lvlText w:val=""/>
      <w:lvlJc w:val="left"/>
      <w:pPr>
        <w:tabs>
          <w:tab w:val="num" w:pos="360"/>
        </w:tabs>
      </w:pPr>
    </w:lvl>
    <w:lvl w:ilvl="1" w:tplc="327E58EA">
      <w:start w:val="1"/>
      <w:numFmt w:val="lowerLetter"/>
      <w:lvlText w:val="%2."/>
      <w:lvlJc w:val="left"/>
      <w:pPr>
        <w:ind w:left="1440" w:hanging="360"/>
      </w:pPr>
    </w:lvl>
    <w:lvl w:ilvl="2" w:tplc="A4FE392C">
      <w:start w:val="1"/>
      <w:numFmt w:val="lowerRoman"/>
      <w:lvlText w:val="%3."/>
      <w:lvlJc w:val="right"/>
      <w:pPr>
        <w:ind w:left="2160" w:hanging="180"/>
      </w:pPr>
    </w:lvl>
    <w:lvl w:ilvl="3" w:tplc="BE9050BC">
      <w:start w:val="1"/>
      <w:numFmt w:val="decimal"/>
      <w:lvlText w:val="%4."/>
      <w:lvlJc w:val="left"/>
      <w:pPr>
        <w:ind w:left="2880" w:hanging="360"/>
      </w:pPr>
    </w:lvl>
    <w:lvl w:ilvl="4" w:tplc="96C0AF52">
      <w:start w:val="1"/>
      <w:numFmt w:val="lowerLetter"/>
      <w:lvlText w:val="%5."/>
      <w:lvlJc w:val="left"/>
      <w:pPr>
        <w:ind w:left="3600" w:hanging="360"/>
      </w:pPr>
    </w:lvl>
    <w:lvl w:ilvl="5" w:tplc="5464E0CE">
      <w:start w:val="1"/>
      <w:numFmt w:val="lowerRoman"/>
      <w:lvlText w:val="%6."/>
      <w:lvlJc w:val="right"/>
      <w:pPr>
        <w:ind w:left="4320" w:hanging="180"/>
      </w:pPr>
    </w:lvl>
    <w:lvl w:ilvl="6" w:tplc="CE4AA3CC">
      <w:start w:val="1"/>
      <w:numFmt w:val="decimal"/>
      <w:lvlText w:val="%7."/>
      <w:lvlJc w:val="left"/>
      <w:pPr>
        <w:ind w:left="5040" w:hanging="360"/>
      </w:pPr>
    </w:lvl>
    <w:lvl w:ilvl="7" w:tplc="72D02F82">
      <w:start w:val="1"/>
      <w:numFmt w:val="lowerLetter"/>
      <w:lvlText w:val="%8."/>
      <w:lvlJc w:val="left"/>
      <w:pPr>
        <w:ind w:left="5760" w:hanging="360"/>
      </w:pPr>
    </w:lvl>
    <w:lvl w:ilvl="8" w:tplc="0C5EF6A8">
      <w:start w:val="1"/>
      <w:numFmt w:val="lowerRoman"/>
      <w:lvlText w:val="%9."/>
      <w:lvlJc w:val="right"/>
      <w:pPr>
        <w:ind w:left="6480" w:hanging="180"/>
      </w:pPr>
    </w:lvl>
  </w:abstractNum>
  <w:abstractNum w:abstractNumId="5" w15:restartNumberingAfterBreak="0">
    <w:nsid w:val="3F240A21"/>
    <w:multiLevelType w:val="hybridMultilevel"/>
    <w:tmpl w:val="765E589A"/>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733372C"/>
    <w:multiLevelType w:val="hybridMultilevel"/>
    <w:tmpl w:val="7D98AB1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D2750E"/>
    <w:multiLevelType w:val="multilevel"/>
    <w:tmpl w:val="CA2C767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8" w15:restartNumberingAfterBreak="0">
    <w:nsid w:val="4D9929CA"/>
    <w:multiLevelType w:val="multilevel"/>
    <w:tmpl w:val="91061FCE"/>
    <w:lvl w:ilvl="0">
      <w:numFmt w:val="bullet"/>
      <w:lvlText w:val="-"/>
      <w:lvlJc w:val="left"/>
      <w:pPr>
        <w:tabs>
          <w:tab w:val="num" w:pos="1429"/>
        </w:tabs>
        <w:ind w:left="1429"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49D2EE7"/>
    <w:multiLevelType w:val="multilevel"/>
    <w:tmpl w:val="123A9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DA38ED"/>
    <w:multiLevelType w:val="hybridMultilevel"/>
    <w:tmpl w:val="4B9C2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A35966"/>
    <w:multiLevelType w:val="multilevel"/>
    <w:tmpl w:val="BCB01C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71720357"/>
    <w:multiLevelType w:val="hybridMultilevel"/>
    <w:tmpl w:val="B0288300"/>
    <w:lvl w:ilvl="0" w:tplc="0410000F">
      <w:start w:val="1"/>
      <w:numFmt w:val="decimal"/>
      <w:lvlText w:val="%1."/>
      <w:lvlJc w:val="left"/>
      <w:pPr>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D76991"/>
    <w:multiLevelType w:val="hybridMultilevel"/>
    <w:tmpl w:val="8064E378"/>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185723"/>
    <w:multiLevelType w:val="multilevel"/>
    <w:tmpl w:val="1DE8C6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96E4FD0"/>
    <w:multiLevelType w:val="multilevel"/>
    <w:tmpl w:val="6EFE6AA0"/>
    <w:lvl w:ilvl="0">
      <w:start w:val="1"/>
      <w:numFmt w:val="decimal"/>
      <w:lvlText w:val="%1"/>
      <w:lvlJc w:val="left"/>
      <w:pPr>
        <w:ind w:left="360" w:hanging="360"/>
      </w:pPr>
      <w:rPr>
        <w:rFonts w:hint="default"/>
      </w:rPr>
    </w:lvl>
    <w:lvl w:ilvl="1">
      <w:start w:val="2"/>
      <w:numFmt w:val="decimal"/>
      <w:lvlText w:val="%1.%2"/>
      <w:lvlJc w:val="left"/>
      <w:pPr>
        <w:ind w:left="502" w:hanging="360"/>
      </w:p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7C726A51"/>
    <w:multiLevelType w:val="hybridMultilevel"/>
    <w:tmpl w:val="D55A8F0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E35252"/>
    <w:multiLevelType w:val="hybridMultilevel"/>
    <w:tmpl w:val="91061FCE"/>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17"/>
  </w:num>
  <w:num w:numId="6">
    <w:abstractNumId w:val="6"/>
  </w:num>
  <w:num w:numId="7">
    <w:abstractNumId w:val="5"/>
  </w:num>
  <w:num w:numId="8">
    <w:abstractNumId w:val="8"/>
  </w:num>
  <w:num w:numId="9">
    <w:abstractNumId w:val="13"/>
  </w:num>
  <w:num w:numId="10">
    <w:abstractNumId w:val="12"/>
  </w:num>
  <w:num w:numId="11">
    <w:abstractNumId w:val="0"/>
  </w:num>
  <w:num w:numId="12">
    <w:abstractNumId w:val="1"/>
  </w:num>
  <w:num w:numId="13">
    <w:abstractNumId w:val="15"/>
  </w:num>
  <w:num w:numId="14">
    <w:abstractNumId w:val="11"/>
  </w:num>
  <w:num w:numId="15">
    <w:abstractNumId w:val="14"/>
  </w:num>
  <w:num w:numId="16">
    <w:abstractNumId w:val="9"/>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A3"/>
    <w:rsid w:val="00020A9D"/>
    <w:rsid w:val="000373ED"/>
    <w:rsid w:val="00050000"/>
    <w:rsid w:val="000717E5"/>
    <w:rsid w:val="00082AFB"/>
    <w:rsid w:val="000B1BD8"/>
    <w:rsid w:val="000C1462"/>
    <w:rsid w:val="00114E56"/>
    <w:rsid w:val="001506B4"/>
    <w:rsid w:val="00177EFB"/>
    <w:rsid w:val="001814C2"/>
    <w:rsid w:val="00243549"/>
    <w:rsid w:val="002457E9"/>
    <w:rsid w:val="00285585"/>
    <w:rsid w:val="00297EBF"/>
    <w:rsid w:val="002B431B"/>
    <w:rsid w:val="00302588"/>
    <w:rsid w:val="003415D4"/>
    <w:rsid w:val="00354221"/>
    <w:rsid w:val="003F32D8"/>
    <w:rsid w:val="003F7C48"/>
    <w:rsid w:val="0040638D"/>
    <w:rsid w:val="00424EA4"/>
    <w:rsid w:val="00457378"/>
    <w:rsid w:val="00495A17"/>
    <w:rsid w:val="004F60F2"/>
    <w:rsid w:val="005775D0"/>
    <w:rsid w:val="00584B78"/>
    <w:rsid w:val="005A5A37"/>
    <w:rsid w:val="005D3673"/>
    <w:rsid w:val="006B1B5F"/>
    <w:rsid w:val="006D200F"/>
    <w:rsid w:val="006E0BFA"/>
    <w:rsid w:val="006F1FDF"/>
    <w:rsid w:val="0075626E"/>
    <w:rsid w:val="0075730E"/>
    <w:rsid w:val="0077634C"/>
    <w:rsid w:val="00796244"/>
    <w:rsid w:val="008009E4"/>
    <w:rsid w:val="00802B48"/>
    <w:rsid w:val="008142F0"/>
    <w:rsid w:val="00881F02"/>
    <w:rsid w:val="008906EA"/>
    <w:rsid w:val="008B4DD1"/>
    <w:rsid w:val="008E2727"/>
    <w:rsid w:val="00901E3D"/>
    <w:rsid w:val="009044D3"/>
    <w:rsid w:val="00941740"/>
    <w:rsid w:val="0096612E"/>
    <w:rsid w:val="009763D3"/>
    <w:rsid w:val="009B0237"/>
    <w:rsid w:val="00A346A3"/>
    <w:rsid w:val="00A6379F"/>
    <w:rsid w:val="00AA2064"/>
    <w:rsid w:val="00B30572"/>
    <w:rsid w:val="00B83EE6"/>
    <w:rsid w:val="00B86441"/>
    <w:rsid w:val="00BB71D4"/>
    <w:rsid w:val="00C27DF5"/>
    <w:rsid w:val="00C77F37"/>
    <w:rsid w:val="00CB2ED5"/>
    <w:rsid w:val="00CD3A0E"/>
    <w:rsid w:val="00CE750C"/>
    <w:rsid w:val="00D23255"/>
    <w:rsid w:val="00D52AF0"/>
    <w:rsid w:val="00D54AA9"/>
    <w:rsid w:val="00DC73B0"/>
    <w:rsid w:val="00E25243"/>
    <w:rsid w:val="00E34769"/>
    <w:rsid w:val="00E51D6C"/>
    <w:rsid w:val="00E716F5"/>
    <w:rsid w:val="00E728BC"/>
    <w:rsid w:val="00ED1D75"/>
    <w:rsid w:val="00EF754E"/>
    <w:rsid w:val="00F1798A"/>
    <w:rsid w:val="00F340E6"/>
    <w:rsid w:val="00F7769D"/>
    <w:rsid w:val="00F8630D"/>
    <w:rsid w:val="00F87146"/>
    <w:rsid w:val="00F94EDC"/>
    <w:rsid w:val="00FC721B"/>
    <w:rsid w:val="0AD41B81"/>
    <w:rsid w:val="22FEA9D1"/>
    <w:rsid w:val="556F5354"/>
    <w:rsid w:val="5907128C"/>
    <w:rsid w:val="7145481A"/>
    <w:rsid w:val="71BEFA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13A8F"/>
  <w15:docId w15:val="{61A7F190-FC5D-473E-AE40-C43C02B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3F32D8"/>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0">
    <w:name w:val="normale"/>
    <w:rsid w:val="003F32D8"/>
    <w:rPr>
      <w:smallCaps/>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Corpodeltesto1">
    <w:name w:val="Corpo del testo1"/>
    <w:basedOn w:val="Normale"/>
    <w:rsid w:val="003F32D8"/>
    <w:rPr>
      <w:sz w:val="18"/>
      <w:szCs w:val="18"/>
    </w:rPr>
  </w:style>
  <w:style w:type="paragraph" w:styleId="Testofumetto">
    <w:name w:val="Balloon Text"/>
    <w:basedOn w:val="Normale"/>
    <w:semiHidden/>
    <w:rsid w:val="001814C2"/>
    <w:rPr>
      <w:rFonts w:ascii="Tahoma" w:hAnsi="Tahoma" w:cs="Tahoma"/>
      <w:sz w:val="16"/>
      <w:szCs w:val="16"/>
    </w:rPr>
  </w:style>
  <w:style w:type="character" w:customStyle="1" w:styleId="Testo1Carattere">
    <w:name w:val="Testo 1 Carattere"/>
    <w:link w:val="Testo1"/>
    <w:rsid w:val="00BB71D4"/>
    <w:rPr>
      <w:rFonts w:ascii="Times" w:hAnsi="Times"/>
      <w:noProof/>
      <w:sz w:val="18"/>
      <w:lang w:val="it-IT" w:eastAsia="it-IT" w:bidi="ar-SA"/>
    </w:rPr>
  </w:style>
  <w:style w:type="character" w:customStyle="1" w:styleId="Testo2Carattere">
    <w:name w:val="Testo 2 Carattere"/>
    <w:link w:val="Testo2"/>
    <w:rsid w:val="00BB71D4"/>
    <w:rPr>
      <w:rFonts w:ascii="Times" w:hAnsi="Times"/>
      <w:noProof/>
      <w:sz w:val="18"/>
      <w:lang w:val="it-IT" w:eastAsia="it-IT" w:bidi="ar-SA"/>
    </w:rPr>
  </w:style>
  <w:style w:type="character" w:styleId="Collegamentoipertestuale">
    <w:name w:val="Hyperlink"/>
    <w:basedOn w:val="Carpredefinitoparagrafo"/>
    <w:uiPriority w:val="99"/>
    <w:unhideWhenUsed/>
    <w:rsid w:val="009B0237"/>
    <w:rPr>
      <w:color w:val="0000FF"/>
      <w:u w:val="single"/>
    </w:rPr>
  </w:style>
  <w:style w:type="paragraph" w:styleId="Paragrafoelenco">
    <w:name w:val="List Paragraph"/>
    <w:basedOn w:val="Normale"/>
    <w:uiPriority w:val="34"/>
    <w:qFormat/>
    <w:rsid w:val="00E51D6C"/>
    <w:pPr>
      <w:ind w:left="720"/>
      <w:contextualSpacing/>
    </w:pPr>
  </w:style>
  <w:style w:type="character" w:styleId="Rimandocommento">
    <w:name w:val="annotation reference"/>
    <w:basedOn w:val="Carpredefinitoparagrafo"/>
    <w:semiHidden/>
    <w:unhideWhenUsed/>
    <w:rsid w:val="00DC73B0"/>
    <w:rPr>
      <w:sz w:val="16"/>
      <w:szCs w:val="16"/>
    </w:rPr>
  </w:style>
  <w:style w:type="paragraph" w:styleId="Testocommento">
    <w:name w:val="annotation text"/>
    <w:basedOn w:val="Normale"/>
    <w:link w:val="TestocommentoCarattere"/>
    <w:semiHidden/>
    <w:unhideWhenUsed/>
    <w:rsid w:val="00DC73B0"/>
    <w:pPr>
      <w:spacing w:line="240" w:lineRule="auto"/>
    </w:pPr>
  </w:style>
  <w:style w:type="character" w:customStyle="1" w:styleId="TestocommentoCarattere">
    <w:name w:val="Testo commento Carattere"/>
    <w:basedOn w:val="Carpredefinitoparagrafo"/>
    <w:link w:val="Testocommento"/>
    <w:semiHidden/>
    <w:rsid w:val="00DC73B0"/>
    <w:rPr>
      <w:rFonts w:ascii="Times" w:hAnsi="Times"/>
    </w:rPr>
  </w:style>
  <w:style w:type="paragraph" w:styleId="Soggettocommento">
    <w:name w:val="annotation subject"/>
    <w:basedOn w:val="Testocommento"/>
    <w:next w:val="Testocommento"/>
    <w:link w:val="SoggettocommentoCarattere"/>
    <w:semiHidden/>
    <w:unhideWhenUsed/>
    <w:rsid w:val="00DC73B0"/>
    <w:rPr>
      <w:b/>
      <w:bCs/>
    </w:rPr>
  </w:style>
  <w:style w:type="character" w:customStyle="1" w:styleId="SoggettocommentoCarattere">
    <w:name w:val="Soggetto commento Carattere"/>
    <w:basedOn w:val="TestocommentoCarattere"/>
    <w:link w:val="Soggettocommento"/>
    <w:semiHidden/>
    <w:rsid w:val="00DC73B0"/>
    <w:rPr>
      <w:rFonts w:ascii="Times" w:hAnsi="Times"/>
      <w:b/>
      <w:bCs/>
    </w:rPr>
  </w:style>
  <w:style w:type="character" w:customStyle="1" w:styleId="UnresolvedMention">
    <w:name w:val="Unresolved Mention"/>
    <w:basedOn w:val="Carpredefinitoparagrafo"/>
    <w:uiPriority w:val="99"/>
    <w:semiHidden/>
    <w:unhideWhenUsed/>
    <w:rsid w:val="003F7C48"/>
    <w:rPr>
      <w:color w:val="605E5C"/>
      <w:shd w:val="clear" w:color="auto" w:fill="E1DFDD"/>
    </w:rPr>
  </w:style>
  <w:style w:type="paragraph" w:styleId="Testonotaapidipagina">
    <w:name w:val="footnote text"/>
    <w:basedOn w:val="Normale"/>
    <w:link w:val="TestonotaapidipaginaCarattere"/>
    <w:semiHidden/>
    <w:unhideWhenUsed/>
    <w:rsid w:val="00CD3A0E"/>
    <w:pPr>
      <w:spacing w:line="240" w:lineRule="auto"/>
    </w:pPr>
  </w:style>
  <w:style w:type="character" w:customStyle="1" w:styleId="TestonotaapidipaginaCarattere">
    <w:name w:val="Testo nota a piè di pagina Carattere"/>
    <w:basedOn w:val="Carpredefinitoparagrafo"/>
    <w:link w:val="Testonotaapidipagina"/>
    <w:semiHidden/>
    <w:rsid w:val="00CD3A0E"/>
    <w:rPr>
      <w:rFonts w:ascii="Times" w:hAnsi="Times"/>
    </w:rPr>
  </w:style>
  <w:style w:type="character" w:styleId="Rimandonotaapidipagina">
    <w:name w:val="footnote reference"/>
    <w:basedOn w:val="Carpredefinitoparagrafo"/>
    <w:semiHidden/>
    <w:unhideWhenUsed/>
    <w:rsid w:val="00CD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0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luigi-campiglio/mercato-prezzi-e-politica-economica-9788815060181-208201.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e778cfc52b2c4413"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3B04-96C8-4194-B244-4DD7CC73FF40}">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189edbf7-6629-4be8-98e2-0a629d83435f"/>
    <ds:schemaRef ds:uri="http://purl.org/dc/terms/"/>
    <ds:schemaRef ds:uri="http://purl.org/dc/elements/1.1/"/>
    <ds:schemaRef ds:uri="69cdee98-039f-42ef-84e8-bcafbefa6ce6"/>
    <ds:schemaRef ds:uri="http://www.w3.org/XML/1998/namespace"/>
  </ds:schemaRefs>
</ds:datastoreItem>
</file>

<file path=customXml/itemProps2.xml><?xml version="1.0" encoding="utf-8"?>
<ds:datastoreItem xmlns:ds="http://schemas.openxmlformats.org/officeDocument/2006/customXml" ds:itemID="{E80F0697-8945-4BD7-8C0A-BC9BCE70C8CF}">
  <ds:schemaRefs>
    <ds:schemaRef ds:uri="http://schemas.microsoft.com/sharepoint/v3/contenttype/forms"/>
  </ds:schemaRefs>
</ds:datastoreItem>
</file>

<file path=customXml/itemProps3.xml><?xml version="1.0" encoding="utf-8"?>
<ds:datastoreItem xmlns:ds="http://schemas.openxmlformats.org/officeDocument/2006/customXml" ds:itemID="{3F8DAB42-4229-4F2C-8FC6-5A0BD9C30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53991-EFC1-4A9F-B2A9-7756E389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47</TotalTime>
  <Pages>5</Pages>
  <Words>1581</Words>
  <Characters>9014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33</vt:lpstr>
    </vt:vector>
  </TitlesOfParts>
  <Company>U.C.S.C. MILANO</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dc:title>
  <dc:creator>Direzione</dc:creator>
  <cp:lastModifiedBy>Piccolini Luisella</cp:lastModifiedBy>
  <cp:revision>11</cp:revision>
  <cp:lastPrinted>2010-05-10T14:05:00Z</cp:lastPrinted>
  <dcterms:created xsi:type="dcterms:W3CDTF">2021-05-14T10:46:00Z</dcterms:created>
  <dcterms:modified xsi:type="dcterms:W3CDTF">2021-11-08T09:20:00Z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