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13CB" w14:textId="1436864E" w:rsidR="00B97CD5" w:rsidRPr="00C04B6B" w:rsidRDefault="00C04B6B" w:rsidP="00B97CD5">
      <w:pPr>
        <w:pStyle w:val="Titolo2"/>
        <w:rPr>
          <w:rFonts w:ascii="Times New Roman" w:hAnsi="Times New Roman"/>
          <w:b/>
          <w:caps/>
          <w:smallCaps w:val="0"/>
          <w:sz w:val="20"/>
          <w:lang w:val="en-US"/>
        </w:rPr>
      </w:pPr>
      <w:r>
        <w:rPr>
          <w:rFonts w:ascii="Times New Roman" w:hAnsi="Times New Roman"/>
          <w:b/>
          <w:smallCaps w:val="0"/>
          <w:sz w:val="20"/>
          <w:lang w:val="en-US"/>
        </w:rPr>
        <w:t>Economics of Global Competitiveness a</w:t>
      </w:r>
      <w:r w:rsidRPr="00C04B6B">
        <w:rPr>
          <w:rFonts w:ascii="Times New Roman" w:hAnsi="Times New Roman"/>
          <w:b/>
          <w:smallCaps w:val="0"/>
          <w:sz w:val="20"/>
          <w:lang w:val="en-US"/>
        </w:rPr>
        <w:t>nd Sustainability</w:t>
      </w:r>
    </w:p>
    <w:p w14:paraId="30F14DFD" w14:textId="7989C072" w:rsidR="003515F3" w:rsidRPr="00C04B6B" w:rsidRDefault="003515F3" w:rsidP="003515F3">
      <w:pPr>
        <w:pStyle w:val="Titolo2"/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 xml:space="preserve">Professor </w:t>
      </w:r>
      <w:r w:rsidR="006E08F0" w:rsidRPr="00C04B6B">
        <w:rPr>
          <w:rFonts w:ascii="Times New Roman" w:hAnsi="Times New Roman"/>
          <w:sz w:val="20"/>
          <w:lang w:val="en-GB"/>
        </w:rPr>
        <w:t>Martin Zagler</w:t>
      </w:r>
    </w:p>
    <w:p w14:paraId="3449AA51" w14:textId="77777777" w:rsidR="003515F3" w:rsidRPr="00C04B6B" w:rsidRDefault="003515F3" w:rsidP="003515F3">
      <w:pPr>
        <w:spacing w:after="120"/>
        <w:rPr>
          <w:b/>
          <w:i/>
          <w:smallCaps/>
          <w:lang w:val="en-GB"/>
        </w:rPr>
      </w:pPr>
    </w:p>
    <w:p w14:paraId="0917C33D" w14:textId="26F1ADF1" w:rsidR="003515F3" w:rsidRPr="00C04B6B" w:rsidRDefault="003515F3" w:rsidP="003515F3">
      <w:pPr>
        <w:spacing w:after="120"/>
        <w:rPr>
          <w:b/>
          <w:i/>
          <w:smallCaps/>
          <w:lang w:val="en-GB"/>
        </w:rPr>
      </w:pPr>
      <w:r w:rsidRPr="00C04B6B">
        <w:rPr>
          <w:b/>
          <w:i/>
          <w:smallCaps/>
          <w:lang w:val="en-GB"/>
        </w:rPr>
        <w:t>COURSE AIMS</w:t>
      </w:r>
      <w:r w:rsidR="00742D4E" w:rsidRPr="00742D4E">
        <w:rPr>
          <w:b/>
          <w:bCs/>
          <w:i/>
          <w:iCs/>
          <w:sz w:val="18"/>
          <w:szCs w:val="18"/>
          <w:lang w:val="en-GB"/>
        </w:rPr>
        <w:t xml:space="preserve"> </w:t>
      </w:r>
      <w:r w:rsidR="00742D4E" w:rsidRPr="00DE398C">
        <w:rPr>
          <w:b/>
          <w:i/>
          <w:smallCaps/>
          <w:lang w:val="en-GB"/>
        </w:rPr>
        <w:t>AND LEARNING OUTOCOMES</w:t>
      </w:r>
    </w:p>
    <w:p w14:paraId="6FA9BE85" w14:textId="008B4394" w:rsidR="003515F3" w:rsidRPr="00C04B6B" w:rsidRDefault="00B97CD5" w:rsidP="003515F3">
      <w:pPr>
        <w:jc w:val="both"/>
        <w:rPr>
          <w:lang w:val="en-GB"/>
        </w:rPr>
      </w:pPr>
      <w:r w:rsidRPr="00C04B6B">
        <w:rPr>
          <w:lang w:val="en-GB"/>
        </w:rPr>
        <w:t xml:space="preserve">Territorial/national competitiveness and sustainability are </w:t>
      </w:r>
      <w:r w:rsidR="006E08F0" w:rsidRPr="00C04B6B">
        <w:rPr>
          <w:lang w:val="en-GB"/>
        </w:rPr>
        <w:t>becoming crucial</w:t>
      </w:r>
      <w:r w:rsidRPr="00C04B6B">
        <w:rPr>
          <w:lang w:val="en-GB"/>
        </w:rPr>
        <w:t xml:space="preserve"> drivers for firms’ performance</w:t>
      </w:r>
      <w:r w:rsidR="00C573C4" w:rsidRPr="00C04B6B">
        <w:rPr>
          <w:lang w:val="en-GB"/>
        </w:rPr>
        <w:t xml:space="preserve"> in a globalized world</w:t>
      </w:r>
      <w:r w:rsidRPr="00C04B6B">
        <w:rPr>
          <w:lang w:val="en-GB"/>
        </w:rPr>
        <w:t xml:space="preserve">. Most of the firm level decisions are for different reasons related to the territorial context where the firm is located. </w:t>
      </w:r>
      <w:r w:rsidR="003515F3" w:rsidRPr="00C04B6B">
        <w:rPr>
          <w:lang w:val="en-GB"/>
        </w:rPr>
        <w:t xml:space="preserve">The objective of the course is to identify the most important elements in decisions made by firms in establishing a presence in Europe and internationally. </w:t>
      </w:r>
      <w:r w:rsidR="00C573C4" w:rsidRPr="00C04B6B">
        <w:rPr>
          <w:lang w:val="en-GB"/>
        </w:rPr>
        <w:t>After setting the stage with a discussion of globalization, t</w:t>
      </w:r>
      <w:r w:rsidR="003515F3" w:rsidRPr="00C04B6B">
        <w:rPr>
          <w:lang w:val="en-GB"/>
        </w:rPr>
        <w:t xml:space="preserve">he course opens with a review of readings about country risk and territorial competitiveness and proposes a series of practical tools for analysing national </w:t>
      </w:r>
      <w:r w:rsidR="0054413F" w:rsidRPr="00C04B6B">
        <w:rPr>
          <w:lang w:val="en-GB"/>
        </w:rPr>
        <w:t>economies and their potential</w:t>
      </w:r>
      <w:r w:rsidR="003515F3" w:rsidRPr="00C04B6B">
        <w:rPr>
          <w:lang w:val="en-GB"/>
        </w:rPr>
        <w:t>. The main points of reference are the instruments proposed by European and international organisations and by the principal agencies for rating</w:t>
      </w:r>
      <w:r w:rsidR="0054413F" w:rsidRPr="00C04B6B">
        <w:rPr>
          <w:lang w:val="en-GB"/>
        </w:rPr>
        <w:t xml:space="preserve"> the business environment of</w:t>
      </w:r>
      <w:r w:rsidR="003515F3" w:rsidRPr="00C04B6B">
        <w:rPr>
          <w:lang w:val="en-GB"/>
        </w:rPr>
        <w:t xml:space="preserve"> the points of destination for direct foreign investment.</w:t>
      </w:r>
      <w:r w:rsidRPr="00C04B6B">
        <w:rPr>
          <w:lang w:val="en-GB"/>
        </w:rPr>
        <w:t xml:space="preserve"> </w:t>
      </w:r>
      <w:r w:rsidR="006E08F0" w:rsidRPr="00C04B6B">
        <w:rPr>
          <w:lang w:val="en-GB"/>
        </w:rPr>
        <w:t>Moreover</w:t>
      </w:r>
      <w:r w:rsidR="00C573C4" w:rsidRPr="00C04B6B">
        <w:rPr>
          <w:lang w:val="en-GB"/>
        </w:rPr>
        <w:t xml:space="preserve">, </w:t>
      </w:r>
      <w:r w:rsidRPr="00C04B6B">
        <w:rPr>
          <w:lang w:val="en-GB"/>
        </w:rPr>
        <w:t xml:space="preserve">specific attention is paid to the sustainability issue. </w:t>
      </w:r>
    </w:p>
    <w:p w14:paraId="5DFED978" w14:textId="77777777" w:rsidR="003515F3" w:rsidRPr="00C04B6B" w:rsidRDefault="003515F3" w:rsidP="003515F3">
      <w:pPr>
        <w:spacing w:line="240" w:lineRule="exact"/>
        <w:jc w:val="both"/>
        <w:rPr>
          <w:lang w:val="en-GB"/>
        </w:rPr>
      </w:pPr>
    </w:p>
    <w:p w14:paraId="3EC275BA" w14:textId="452B2D86" w:rsidR="003E419A" w:rsidRPr="00C04B6B" w:rsidRDefault="00840A19" w:rsidP="003E419A">
      <w:pPr>
        <w:spacing w:before="120"/>
        <w:jc w:val="both"/>
        <w:rPr>
          <w:lang w:val="en-US"/>
        </w:rPr>
      </w:pPr>
      <w:r w:rsidRPr="00C04B6B">
        <w:rPr>
          <w:lang w:val="en-US"/>
        </w:rPr>
        <w:t xml:space="preserve">Upon completion of the program, students will be able to: </w:t>
      </w:r>
    </w:p>
    <w:p w14:paraId="247E3610" w14:textId="6204B071" w:rsidR="003E419A" w:rsidRPr="00C04B6B" w:rsidRDefault="003E419A" w:rsidP="003E419A">
      <w:pPr>
        <w:pStyle w:val="Paragrafoelenco"/>
        <w:numPr>
          <w:ilvl w:val="0"/>
          <w:numId w:val="24"/>
        </w:numPr>
        <w:spacing w:line="240" w:lineRule="exact"/>
        <w:jc w:val="both"/>
        <w:rPr>
          <w:lang w:val="en-GB"/>
        </w:rPr>
      </w:pPr>
      <w:r w:rsidRPr="00C04B6B">
        <w:rPr>
          <w:lang w:val="en-GB"/>
        </w:rPr>
        <w:t>understand the driving forces of globalization and its consequences;</w:t>
      </w:r>
    </w:p>
    <w:p w14:paraId="4D23F861" w14:textId="21B7CD20" w:rsidR="003E419A" w:rsidRPr="00C04B6B" w:rsidRDefault="003E419A" w:rsidP="003E419A">
      <w:pPr>
        <w:pStyle w:val="Paragrafoelenco"/>
        <w:numPr>
          <w:ilvl w:val="0"/>
          <w:numId w:val="24"/>
        </w:numPr>
        <w:spacing w:line="240" w:lineRule="exact"/>
        <w:jc w:val="both"/>
        <w:rPr>
          <w:lang w:val="en-GB"/>
        </w:rPr>
      </w:pPr>
      <w:r w:rsidRPr="00C04B6B">
        <w:rPr>
          <w:lang w:val="en-GB"/>
        </w:rPr>
        <w:t>comprehend the relationship between competitiveness, terms of trade and exchange rates;</w:t>
      </w:r>
    </w:p>
    <w:p w14:paraId="647E2782" w14:textId="7CD446D8" w:rsidR="003515F3" w:rsidRPr="00C04B6B" w:rsidRDefault="003515F3" w:rsidP="003E419A">
      <w:pPr>
        <w:pStyle w:val="Paragrafoelenco"/>
        <w:numPr>
          <w:ilvl w:val="0"/>
          <w:numId w:val="24"/>
        </w:numPr>
        <w:spacing w:line="240" w:lineRule="exact"/>
        <w:jc w:val="both"/>
        <w:rPr>
          <w:lang w:val="en-GB"/>
        </w:rPr>
      </w:pPr>
      <w:r w:rsidRPr="00C04B6B">
        <w:rPr>
          <w:lang w:val="en-GB"/>
        </w:rPr>
        <w:t>identify the elements that cause an increase in country risk, including from an empirical profile</w:t>
      </w:r>
      <w:r w:rsidR="003E419A" w:rsidRPr="00C04B6B">
        <w:rPr>
          <w:lang w:val="en-GB"/>
        </w:rPr>
        <w:t>;</w:t>
      </w:r>
    </w:p>
    <w:p w14:paraId="56BEA4C8" w14:textId="2AAAFDB8" w:rsidR="003515F3" w:rsidRPr="00C04B6B" w:rsidRDefault="003515F3" w:rsidP="003E419A">
      <w:pPr>
        <w:pStyle w:val="Paragrafoelenco"/>
        <w:numPr>
          <w:ilvl w:val="0"/>
          <w:numId w:val="24"/>
        </w:numPr>
        <w:spacing w:line="240" w:lineRule="exact"/>
        <w:jc w:val="both"/>
        <w:rPr>
          <w:lang w:val="en-GB"/>
        </w:rPr>
      </w:pPr>
      <w:r w:rsidRPr="00C04B6B">
        <w:rPr>
          <w:lang w:val="en-GB"/>
        </w:rPr>
        <w:t xml:space="preserve">compare differing territorial performance </w:t>
      </w:r>
      <w:r w:rsidR="00C573C4" w:rsidRPr="00C04B6B">
        <w:rPr>
          <w:lang w:val="en-GB"/>
        </w:rPr>
        <w:t>based on</w:t>
      </w:r>
      <w:r w:rsidRPr="00C04B6B">
        <w:rPr>
          <w:lang w:val="en-GB"/>
        </w:rPr>
        <w:t xml:space="preserve"> competitiveness rankings</w:t>
      </w:r>
      <w:r w:rsidR="00840A19" w:rsidRPr="00C04B6B">
        <w:rPr>
          <w:lang w:val="en-GB"/>
        </w:rPr>
        <w:t>;</w:t>
      </w:r>
    </w:p>
    <w:p w14:paraId="402B5863" w14:textId="397DD040" w:rsidR="00B97CD5" w:rsidRPr="00C04B6B" w:rsidRDefault="00B97CD5" w:rsidP="003E419A">
      <w:pPr>
        <w:pStyle w:val="Paragrafoelenco"/>
        <w:numPr>
          <w:ilvl w:val="0"/>
          <w:numId w:val="24"/>
        </w:numPr>
        <w:spacing w:line="240" w:lineRule="exact"/>
        <w:jc w:val="both"/>
        <w:rPr>
          <w:lang w:val="en-GB"/>
        </w:rPr>
      </w:pPr>
      <w:r w:rsidRPr="00C04B6B">
        <w:rPr>
          <w:lang w:val="en-GB"/>
        </w:rPr>
        <w:t xml:space="preserve">identify main sustainability issues in the perspective of Agenda 2030 </w:t>
      </w:r>
      <w:r w:rsidR="00840A19" w:rsidRPr="00C04B6B">
        <w:rPr>
          <w:lang w:val="en-GB"/>
        </w:rPr>
        <w:t>–</w:t>
      </w:r>
      <w:r w:rsidRPr="00C04B6B">
        <w:rPr>
          <w:lang w:val="en-GB"/>
        </w:rPr>
        <w:t xml:space="preserve"> SDGs</w:t>
      </w:r>
      <w:r w:rsidR="00840A19" w:rsidRPr="00C04B6B">
        <w:rPr>
          <w:lang w:val="en-GB"/>
        </w:rPr>
        <w:t xml:space="preserve"> and evaluate public policies and private strategies impactin</w:t>
      </w:r>
      <w:r w:rsidR="003E419A" w:rsidRPr="00C04B6B">
        <w:rPr>
          <w:lang w:val="en-GB"/>
        </w:rPr>
        <w:t>g business environment;</w:t>
      </w:r>
    </w:p>
    <w:p w14:paraId="0A6955A6" w14:textId="5293E123" w:rsidR="003515F3" w:rsidRPr="00C04B6B" w:rsidRDefault="003515F3" w:rsidP="003E419A">
      <w:pPr>
        <w:pStyle w:val="Paragrafoelenco"/>
        <w:numPr>
          <w:ilvl w:val="0"/>
          <w:numId w:val="24"/>
        </w:numPr>
        <w:spacing w:line="240" w:lineRule="exact"/>
        <w:jc w:val="both"/>
        <w:rPr>
          <w:lang w:val="en-GB"/>
        </w:rPr>
      </w:pPr>
      <w:r w:rsidRPr="00C04B6B">
        <w:rPr>
          <w:lang w:val="en-GB"/>
        </w:rPr>
        <w:t>define the business environment of a given territory</w:t>
      </w:r>
      <w:r w:rsidR="00840A19" w:rsidRPr="00C04B6B">
        <w:rPr>
          <w:lang w:val="en-GB"/>
        </w:rPr>
        <w:t xml:space="preserve"> in terms of competitiveness and sustainability </w:t>
      </w:r>
      <w:r w:rsidR="003E419A" w:rsidRPr="00C04B6B">
        <w:rPr>
          <w:lang w:val="en-GB"/>
        </w:rPr>
        <w:t xml:space="preserve">and </w:t>
      </w:r>
      <w:r w:rsidRPr="00C04B6B">
        <w:rPr>
          <w:lang w:val="en-GB"/>
        </w:rPr>
        <w:t xml:space="preserve">respond to the demand of firms regarding the </w:t>
      </w:r>
      <w:r w:rsidR="00840A19" w:rsidRPr="00C04B6B">
        <w:rPr>
          <w:lang w:val="en-GB"/>
        </w:rPr>
        <w:t>evaluation</w:t>
      </w:r>
      <w:r w:rsidR="003E419A" w:rsidRPr="00C04B6B">
        <w:rPr>
          <w:lang w:val="en-GB"/>
        </w:rPr>
        <w:t xml:space="preserve"> of location strategies</w:t>
      </w:r>
      <w:r w:rsidR="00840A19" w:rsidRPr="00C04B6B">
        <w:rPr>
          <w:lang w:val="en-GB"/>
        </w:rPr>
        <w:t>.</w:t>
      </w:r>
    </w:p>
    <w:p w14:paraId="705280F0" w14:textId="77777777" w:rsidR="00840A19" w:rsidRPr="00C04B6B" w:rsidRDefault="00840A19" w:rsidP="00840A19">
      <w:pPr>
        <w:spacing w:before="120"/>
        <w:jc w:val="both"/>
        <w:rPr>
          <w:lang w:val="en-US"/>
        </w:rPr>
      </w:pPr>
    </w:p>
    <w:p w14:paraId="0607875E" w14:textId="77777777" w:rsidR="003515F3" w:rsidRPr="00C04B6B" w:rsidRDefault="003515F3" w:rsidP="003515F3">
      <w:pPr>
        <w:jc w:val="both"/>
        <w:rPr>
          <w:lang w:val="en-GB"/>
        </w:rPr>
      </w:pPr>
    </w:p>
    <w:p w14:paraId="69E0CE41" w14:textId="77777777" w:rsidR="003515F3" w:rsidRPr="00C04B6B" w:rsidRDefault="003515F3" w:rsidP="003515F3">
      <w:pPr>
        <w:spacing w:after="120"/>
        <w:rPr>
          <w:b/>
          <w:i/>
          <w:smallCaps/>
          <w:lang w:val="en-GB"/>
        </w:rPr>
      </w:pPr>
      <w:r w:rsidRPr="00C04B6B">
        <w:rPr>
          <w:b/>
          <w:i/>
          <w:smallCaps/>
          <w:lang w:val="en-GB"/>
        </w:rPr>
        <w:t>COURSE CONTENT</w:t>
      </w:r>
    </w:p>
    <w:p w14:paraId="08955A69" w14:textId="52723066" w:rsidR="00C573C4" w:rsidRPr="00C04B6B" w:rsidRDefault="00C573C4" w:rsidP="003515F3">
      <w:pPr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ind w:left="142" w:hanging="142"/>
        <w:rPr>
          <w:lang w:val="en-GB"/>
        </w:rPr>
      </w:pPr>
      <w:r w:rsidRPr="00C04B6B">
        <w:rPr>
          <w:lang w:val="en-GB"/>
        </w:rPr>
        <w:t>Setting the Stage: Globalization</w:t>
      </w:r>
    </w:p>
    <w:p w14:paraId="5F55DEA8" w14:textId="63A687F8" w:rsidR="00C573C4" w:rsidRPr="00C04B6B" w:rsidRDefault="00EB0E39" w:rsidP="003515F3">
      <w:pPr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ind w:left="142" w:hanging="142"/>
        <w:rPr>
          <w:lang w:val="en-GB"/>
        </w:rPr>
      </w:pPr>
      <w:r w:rsidRPr="00C04B6B">
        <w:rPr>
          <w:lang w:val="en-GB"/>
        </w:rPr>
        <w:t>Competitiveness 101: Exchange rates and terms of trade</w:t>
      </w:r>
    </w:p>
    <w:p w14:paraId="06BB312E" w14:textId="2D318F21" w:rsidR="00EB0E39" w:rsidRPr="00C04B6B" w:rsidRDefault="00B7424F" w:rsidP="00B7424F">
      <w:pPr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ind w:left="142" w:hanging="142"/>
        <w:rPr>
          <w:lang w:val="en-GB"/>
        </w:rPr>
      </w:pPr>
      <w:r w:rsidRPr="00C04B6B">
        <w:rPr>
          <w:lang w:val="en-GB"/>
        </w:rPr>
        <w:t xml:space="preserve">Beyond exchange rates: </w:t>
      </w:r>
      <w:r w:rsidR="00B91878" w:rsidRPr="00C04B6B">
        <w:rPr>
          <w:lang w:val="en-GB"/>
        </w:rPr>
        <w:t>Competitiveness and ease of doing business</w:t>
      </w:r>
    </w:p>
    <w:p w14:paraId="70557AC9" w14:textId="5E4671C4" w:rsidR="003515F3" w:rsidRPr="00C04B6B" w:rsidRDefault="00B7424F" w:rsidP="003515F3">
      <w:pPr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ind w:left="142" w:hanging="142"/>
        <w:rPr>
          <w:lang w:val="en-GB"/>
        </w:rPr>
      </w:pPr>
      <w:r w:rsidRPr="00C04B6B">
        <w:rPr>
          <w:lang w:val="en-GB"/>
        </w:rPr>
        <w:t>When things go wrong:</w:t>
      </w:r>
      <w:r w:rsidR="00B210E3" w:rsidRPr="00C04B6B">
        <w:rPr>
          <w:lang w:val="en-GB"/>
        </w:rPr>
        <w:t xml:space="preserve"> Assessing</w:t>
      </w:r>
      <w:r w:rsidRPr="00C04B6B">
        <w:rPr>
          <w:lang w:val="en-GB"/>
        </w:rPr>
        <w:t xml:space="preserve"> </w:t>
      </w:r>
      <w:r w:rsidR="00B97CD5" w:rsidRPr="00C04B6B">
        <w:rPr>
          <w:lang w:val="en-GB"/>
        </w:rPr>
        <w:t>C</w:t>
      </w:r>
      <w:r w:rsidR="003515F3" w:rsidRPr="00C04B6B">
        <w:rPr>
          <w:lang w:val="en-GB"/>
        </w:rPr>
        <w:t>ountry risk</w:t>
      </w:r>
    </w:p>
    <w:p w14:paraId="3706C2F6" w14:textId="63691C16" w:rsidR="003515F3" w:rsidRPr="00C04B6B" w:rsidRDefault="00B97CD5" w:rsidP="003515F3">
      <w:pPr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ind w:left="142" w:hanging="142"/>
        <w:rPr>
          <w:lang w:val="en-GB"/>
        </w:rPr>
      </w:pPr>
      <w:r w:rsidRPr="00C04B6B">
        <w:rPr>
          <w:lang w:val="en-GB"/>
        </w:rPr>
        <w:t>Sustainability and SDGs: concepts and measures.</w:t>
      </w:r>
    </w:p>
    <w:p w14:paraId="23450511" w14:textId="77777777" w:rsidR="003E419A" w:rsidRPr="00C04B6B" w:rsidRDefault="003E419A" w:rsidP="003E419A">
      <w:pPr>
        <w:tabs>
          <w:tab w:val="left" w:pos="142"/>
          <w:tab w:val="left" w:pos="284"/>
        </w:tabs>
        <w:rPr>
          <w:lang w:val="en-GB"/>
        </w:rPr>
      </w:pPr>
    </w:p>
    <w:p w14:paraId="29E018BF" w14:textId="77777777" w:rsidR="003E419A" w:rsidRPr="00C04B6B" w:rsidRDefault="003E419A" w:rsidP="003E419A">
      <w:pPr>
        <w:tabs>
          <w:tab w:val="left" w:pos="142"/>
          <w:tab w:val="left" w:pos="284"/>
        </w:tabs>
        <w:rPr>
          <w:lang w:val="en-GB"/>
        </w:rPr>
      </w:pPr>
    </w:p>
    <w:p w14:paraId="4EA792C1" w14:textId="6F55B679" w:rsidR="003515F3" w:rsidRPr="00C04B6B" w:rsidRDefault="003515F3" w:rsidP="003515F3">
      <w:pPr>
        <w:spacing w:before="120"/>
        <w:ind w:left="2835" w:hanging="2835"/>
        <w:jc w:val="both"/>
        <w:rPr>
          <w:b/>
          <w:i/>
          <w:smallCaps/>
          <w:spacing w:val="-10"/>
          <w:lang w:val="en-GB"/>
        </w:rPr>
      </w:pPr>
      <w:r w:rsidRPr="00C04B6B">
        <w:rPr>
          <w:b/>
          <w:i/>
          <w:smallCaps/>
          <w:lang w:val="en-GB"/>
        </w:rPr>
        <w:t xml:space="preserve">READING LIST </w:t>
      </w:r>
      <w:r w:rsidR="00403399">
        <w:rPr>
          <w:rStyle w:val="Rimandonotaapidipagina"/>
          <w:b/>
          <w:i/>
          <w:smallCaps/>
          <w:lang w:val="en-GB"/>
        </w:rPr>
        <w:footnoteReference w:id="1"/>
      </w:r>
    </w:p>
    <w:p w14:paraId="0DB5E22A" w14:textId="77777777" w:rsidR="003515F3" w:rsidRPr="00C04B6B" w:rsidRDefault="003515F3" w:rsidP="003515F3">
      <w:pPr>
        <w:pStyle w:val="Testo1"/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A preliminary reading list is indicated below:</w:t>
      </w:r>
    </w:p>
    <w:p w14:paraId="15B215E4" w14:textId="602E4600" w:rsidR="003515F3" w:rsidRPr="00C04B6B" w:rsidRDefault="003515F3" w:rsidP="003515F3">
      <w:pPr>
        <w:pStyle w:val="Testo1"/>
        <w:rPr>
          <w:rFonts w:ascii="Times New Roman" w:hAnsi="Times New Roman"/>
          <w:b/>
          <w:sz w:val="20"/>
          <w:lang w:val="en-GB"/>
        </w:rPr>
      </w:pPr>
      <w:r w:rsidRPr="00C04B6B">
        <w:rPr>
          <w:rFonts w:ascii="Times New Roman" w:hAnsi="Times New Roman"/>
          <w:b/>
          <w:sz w:val="20"/>
          <w:lang w:val="en-GB"/>
        </w:rPr>
        <w:t>Point 1</w:t>
      </w:r>
    </w:p>
    <w:p w14:paraId="2AEA16F2" w14:textId="77777777" w:rsidR="00C573C4" w:rsidRPr="00C04B6B" w:rsidRDefault="00C573C4" w:rsidP="00C573C4">
      <w:pPr>
        <w:numPr>
          <w:ilvl w:val="0"/>
          <w:numId w:val="17"/>
        </w:numPr>
        <w:rPr>
          <w:lang w:val="en-US"/>
        </w:rPr>
      </w:pPr>
      <w:proofErr w:type="spellStart"/>
      <w:r w:rsidRPr="00C04B6B">
        <w:rPr>
          <w:lang w:val="en-US"/>
        </w:rPr>
        <w:t>Dani</w:t>
      </w:r>
      <w:proofErr w:type="spellEnd"/>
      <w:r w:rsidRPr="00C04B6B">
        <w:rPr>
          <w:lang w:val="en-US"/>
        </w:rPr>
        <w:t xml:space="preserve"> </w:t>
      </w:r>
      <w:proofErr w:type="spellStart"/>
      <w:r w:rsidRPr="00C04B6B">
        <w:rPr>
          <w:lang w:val="en-US"/>
        </w:rPr>
        <w:t>Rodik</w:t>
      </w:r>
      <w:proofErr w:type="spellEnd"/>
      <w:r w:rsidRPr="00C04B6B">
        <w:rPr>
          <w:lang w:val="en-US"/>
        </w:rPr>
        <w:t xml:space="preserve">, Symposium on Globalization in Perspective, Journal of Economic Perspectives, </w:t>
      </w:r>
      <w:proofErr w:type="spellStart"/>
      <w:r w:rsidRPr="00C04B6B">
        <w:rPr>
          <w:lang w:val="en-US"/>
        </w:rPr>
        <w:t>Vol</w:t>
      </w:r>
      <w:proofErr w:type="spellEnd"/>
      <w:r w:rsidRPr="00C04B6B">
        <w:rPr>
          <w:lang w:val="en-US"/>
        </w:rPr>
        <w:t xml:space="preserve"> 12(4), 1998. </w:t>
      </w:r>
      <w:r w:rsidR="00403399">
        <w:fldChar w:fldCharType="begin"/>
      </w:r>
      <w:r w:rsidR="00403399" w:rsidRPr="00403399">
        <w:rPr>
          <w:lang w:val="en-US"/>
        </w:rPr>
        <w:instrText xml:space="preserve"> HYPERLINK "https://www.aeaweb.org/articles?id=10.1257/jep.12.4.3" </w:instrText>
      </w:r>
      <w:r w:rsidR="00403399">
        <w:fldChar w:fldCharType="separate"/>
      </w:r>
      <w:r w:rsidRPr="00C04B6B">
        <w:rPr>
          <w:rStyle w:val="Collegamentoipertestuale"/>
          <w:lang w:val="en-US"/>
        </w:rPr>
        <w:t>https://www.aeaweb.org/articles?id=10.1257/jep.12.4.3</w:t>
      </w:r>
      <w:r w:rsidR="00403399">
        <w:rPr>
          <w:rStyle w:val="Collegamentoipertestuale"/>
          <w:lang w:val="en-US"/>
        </w:rPr>
        <w:fldChar w:fldCharType="end"/>
      </w:r>
    </w:p>
    <w:p w14:paraId="717F13CF" w14:textId="77777777" w:rsidR="00C573C4" w:rsidRPr="00C04B6B" w:rsidRDefault="00C573C4" w:rsidP="00C573C4">
      <w:pPr>
        <w:numPr>
          <w:ilvl w:val="0"/>
          <w:numId w:val="17"/>
        </w:numPr>
        <w:rPr>
          <w:lang w:val="en-US"/>
        </w:rPr>
      </w:pPr>
      <w:r w:rsidRPr="00C04B6B">
        <w:rPr>
          <w:lang w:val="en-GB"/>
        </w:rPr>
        <w:t xml:space="preserve">Robert C. </w:t>
      </w:r>
      <w:proofErr w:type="spellStart"/>
      <w:r w:rsidRPr="00C04B6B">
        <w:rPr>
          <w:lang w:val="en-GB"/>
        </w:rPr>
        <w:t>Feenstra</w:t>
      </w:r>
      <w:proofErr w:type="spellEnd"/>
      <w:r w:rsidRPr="00C04B6B">
        <w:rPr>
          <w:lang w:val="en-GB"/>
        </w:rPr>
        <w:t xml:space="preserve">, Integration of Trade and Disintegration of Production in the Global Economy, Journal of Economic Perspectives, </w:t>
      </w:r>
      <w:proofErr w:type="spellStart"/>
      <w:r w:rsidRPr="00C04B6B">
        <w:rPr>
          <w:lang w:val="en-GB"/>
        </w:rPr>
        <w:t>Vol</w:t>
      </w:r>
      <w:proofErr w:type="spellEnd"/>
      <w:r w:rsidRPr="00C04B6B">
        <w:rPr>
          <w:lang w:val="en-GB"/>
        </w:rPr>
        <w:t xml:space="preserve"> 12(4), 1998. </w:t>
      </w:r>
      <w:r w:rsidR="00403399">
        <w:fldChar w:fldCharType="begin"/>
      </w:r>
      <w:r w:rsidR="00403399" w:rsidRPr="00403399">
        <w:rPr>
          <w:lang w:val="en-US"/>
        </w:rPr>
        <w:instrText xml:space="preserve"> HYPERLINK "https://www.aeaweb.org/articles?id=10.1257/jep.12.4.31" </w:instrText>
      </w:r>
      <w:r w:rsidR="00403399">
        <w:fldChar w:fldCharType="separate"/>
      </w:r>
      <w:r w:rsidRPr="00C04B6B">
        <w:rPr>
          <w:rStyle w:val="Collegamentoipertestuale"/>
          <w:lang w:val="en-GB"/>
        </w:rPr>
        <w:t>https://www.aeaweb.org/articles?id=10.1257/jep.12.4.31</w:t>
      </w:r>
      <w:r w:rsidR="00403399">
        <w:rPr>
          <w:rStyle w:val="Collegamentoipertestuale"/>
          <w:lang w:val="en-GB"/>
        </w:rPr>
        <w:fldChar w:fldCharType="end"/>
      </w:r>
    </w:p>
    <w:p w14:paraId="7C4BB64F" w14:textId="77777777" w:rsidR="00C573C4" w:rsidRPr="00C04B6B" w:rsidRDefault="00C573C4" w:rsidP="003515F3">
      <w:pPr>
        <w:pStyle w:val="Testo1"/>
        <w:rPr>
          <w:rFonts w:ascii="Times New Roman" w:hAnsi="Times New Roman"/>
          <w:iCs/>
          <w:smallCaps/>
          <w:sz w:val="20"/>
          <w:lang w:val="en-GB"/>
        </w:rPr>
      </w:pPr>
    </w:p>
    <w:p w14:paraId="7F9DE863" w14:textId="39B6F5FA" w:rsidR="00C573C4" w:rsidRPr="00C04B6B" w:rsidRDefault="00653D46" w:rsidP="00EB0E39">
      <w:pPr>
        <w:pStyle w:val="Testo1"/>
        <w:rPr>
          <w:rFonts w:ascii="Times New Roman" w:hAnsi="Times New Roman"/>
          <w:b/>
          <w:sz w:val="20"/>
          <w:lang w:val="en-GB"/>
        </w:rPr>
      </w:pPr>
      <w:r w:rsidRPr="00C04B6B">
        <w:rPr>
          <w:rFonts w:ascii="Times New Roman" w:hAnsi="Times New Roman"/>
          <w:b/>
          <w:sz w:val="20"/>
          <w:lang w:val="en-GB"/>
        </w:rPr>
        <w:t>Point 2</w:t>
      </w:r>
    </w:p>
    <w:p w14:paraId="2C43F53C" w14:textId="4F5EDC0D" w:rsidR="00EB0E39" w:rsidRPr="00C04B6B" w:rsidRDefault="00EB0E39" w:rsidP="00EB0E39">
      <w:pPr>
        <w:pStyle w:val="Paragrafoelenco"/>
        <w:numPr>
          <w:ilvl w:val="0"/>
          <w:numId w:val="18"/>
        </w:numPr>
        <w:rPr>
          <w:noProof/>
          <w:lang w:val="en-GB"/>
        </w:rPr>
      </w:pPr>
      <w:r w:rsidRPr="00C04B6B">
        <w:rPr>
          <w:noProof/>
          <w:lang w:val="en-GB"/>
        </w:rPr>
        <w:t>Robert Feenstra and Alan M. Taylor (2017), International Macro</w:t>
      </w:r>
      <w:bookmarkStart w:id="0" w:name="_GoBack"/>
      <w:bookmarkEnd w:id="0"/>
      <w:r w:rsidRPr="00C04B6B">
        <w:rPr>
          <w:noProof/>
          <w:lang w:val="en-GB"/>
        </w:rPr>
        <w:t>economics, 4th edition, Macmillan, Chapters 2, 3, and 4.</w:t>
      </w:r>
    </w:p>
    <w:p w14:paraId="5CA706C6" w14:textId="1F9A4F79" w:rsidR="00EB0E39" w:rsidRPr="00C04B6B" w:rsidRDefault="00EB0E39" w:rsidP="00EB0E39">
      <w:pPr>
        <w:pStyle w:val="Testo1"/>
        <w:numPr>
          <w:ilvl w:val="0"/>
          <w:numId w:val="18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bCs/>
          <w:sz w:val="20"/>
          <w:lang w:val="en-GB"/>
        </w:rPr>
        <w:t>Paul Krugman</w:t>
      </w:r>
      <w:r w:rsidRPr="00C04B6B">
        <w:rPr>
          <w:rFonts w:ascii="Times New Roman" w:hAnsi="Times New Roman"/>
          <w:sz w:val="20"/>
          <w:lang w:val="en-GB"/>
        </w:rPr>
        <w:t xml:space="preserve">, </w:t>
      </w:r>
      <w:r w:rsidR="00653D46" w:rsidRPr="00C04B6B">
        <w:rPr>
          <w:rFonts w:ascii="Times New Roman" w:hAnsi="Times New Roman"/>
          <w:sz w:val="20"/>
          <w:lang w:val="en-GB"/>
        </w:rPr>
        <w:t>Competitiveness:</w:t>
      </w:r>
      <w:r w:rsidRPr="00C04B6B">
        <w:rPr>
          <w:rFonts w:ascii="Times New Roman" w:hAnsi="Times New Roman"/>
          <w:sz w:val="20"/>
          <w:lang w:val="en-GB"/>
        </w:rPr>
        <w:t xml:space="preserve"> A Dangerous Obsession, Foreign Affairs</w:t>
      </w:r>
      <w:r w:rsidR="005B76A2" w:rsidRPr="00C04B6B">
        <w:rPr>
          <w:rFonts w:ascii="Times New Roman" w:hAnsi="Times New Roman"/>
          <w:sz w:val="20"/>
          <w:lang w:val="en-GB"/>
        </w:rPr>
        <w:t xml:space="preserve">, Vol </w:t>
      </w:r>
      <w:r w:rsidRPr="00C04B6B">
        <w:rPr>
          <w:rFonts w:ascii="Times New Roman" w:hAnsi="Times New Roman"/>
          <w:sz w:val="20"/>
          <w:lang w:val="en-GB"/>
        </w:rPr>
        <w:t>73</w:t>
      </w:r>
      <w:r w:rsidR="005B76A2" w:rsidRPr="00C04B6B">
        <w:rPr>
          <w:rFonts w:ascii="Times New Roman" w:hAnsi="Times New Roman"/>
          <w:sz w:val="20"/>
          <w:lang w:val="en-GB"/>
        </w:rPr>
        <w:t xml:space="preserve">(2), March/April 1994. </w:t>
      </w:r>
      <w:r w:rsidR="00403399">
        <w:fldChar w:fldCharType="begin"/>
      </w:r>
      <w:r w:rsidR="00403399" w:rsidRPr="00403399">
        <w:rPr>
          <w:lang w:val="en-US"/>
        </w:rPr>
        <w:instrText xml:space="preserve"> HYPERLINK "https://www.jstor.org/stable/20045917?seq=1" </w:instrText>
      </w:r>
      <w:r w:rsidR="00403399">
        <w:fldChar w:fldCharType="separate"/>
      </w:r>
      <w:r w:rsidR="00542825" w:rsidRPr="00C04B6B">
        <w:rPr>
          <w:rStyle w:val="Collegamentoipertestuale"/>
          <w:rFonts w:ascii="Times New Roman" w:hAnsi="Times New Roman"/>
          <w:sz w:val="20"/>
          <w:lang w:val="en-GB"/>
        </w:rPr>
        <w:t>https://www.jstor.org/stable/20045917?seq=1</w:t>
      </w:r>
      <w:r w:rsidR="00403399">
        <w:rPr>
          <w:rStyle w:val="Collegamentoipertestuale"/>
          <w:rFonts w:ascii="Times New Roman" w:hAnsi="Times New Roman"/>
          <w:sz w:val="20"/>
          <w:lang w:val="en-GB"/>
        </w:rPr>
        <w:fldChar w:fldCharType="end"/>
      </w:r>
    </w:p>
    <w:p w14:paraId="7FD1E44A" w14:textId="4D504C9F" w:rsidR="005B76A2" w:rsidRPr="00C04B6B" w:rsidRDefault="005B76A2" w:rsidP="00542825">
      <w:pPr>
        <w:pStyle w:val="Testo1"/>
        <w:numPr>
          <w:ilvl w:val="0"/>
          <w:numId w:val="18"/>
        </w:numPr>
        <w:jc w:val="left"/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 xml:space="preserve">J. Richard Huber, Effect on Prices of Japan's Entry into World Commerce after 1858, Journal of Political Economy, Vol 79(3), May/June 1971. </w:t>
      </w:r>
      <w:r w:rsidR="00403399">
        <w:fldChar w:fldCharType="begin"/>
      </w:r>
      <w:r w:rsidR="00403399" w:rsidRPr="00403399">
        <w:rPr>
          <w:lang w:val="en-US"/>
        </w:rPr>
        <w:instrText xml:space="preserve"> HYPERLINK "https://www.journals.uchicago.edu/doi/abs/10.1086/259771" </w:instrText>
      </w:r>
      <w:r w:rsidR="00403399">
        <w:fldChar w:fldCharType="separate"/>
      </w:r>
      <w:r w:rsidRPr="00C04B6B">
        <w:rPr>
          <w:rStyle w:val="Collegamentoipertestuale"/>
          <w:rFonts w:ascii="Times New Roman" w:hAnsi="Times New Roman"/>
          <w:sz w:val="20"/>
          <w:lang w:val="en-GB"/>
        </w:rPr>
        <w:t>https://www.journals.uchicago.edu/doi/abs/10.1086/259771</w:t>
      </w:r>
      <w:r w:rsidR="00403399">
        <w:rPr>
          <w:rStyle w:val="Collegamentoipertestuale"/>
          <w:rFonts w:ascii="Times New Roman" w:hAnsi="Times New Roman"/>
          <w:sz w:val="20"/>
          <w:lang w:val="en-GB"/>
        </w:rPr>
        <w:fldChar w:fldCharType="end"/>
      </w:r>
    </w:p>
    <w:p w14:paraId="04C99E44" w14:textId="77777777" w:rsidR="00653D46" w:rsidRPr="00C04B6B" w:rsidRDefault="00653D46" w:rsidP="00653D46">
      <w:pPr>
        <w:pStyle w:val="Testo1"/>
        <w:ind w:left="0" w:firstLine="0"/>
        <w:rPr>
          <w:rFonts w:ascii="Times New Roman" w:hAnsi="Times New Roman"/>
          <w:iCs/>
          <w:smallCaps/>
          <w:sz w:val="20"/>
          <w:lang w:val="en-GB"/>
        </w:rPr>
      </w:pPr>
    </w:p>
    <w:p w14:paraId="15221A60" w14:textId="0ACB115E" w:rsidR="003E419A" w:rsidRDefault="003E419A" w:rsidP="00653D46">
      <w:pPr>
        <w:pStyle w:val="Testo1"/>
        <w:ind w:left="0" w:firstLine="0"/>
        <w:rPr>
          <w:rFonts w:ascii="Times New Roman" w:hAnsi="Times New Roman"/>
          <w:iCs/>
          <w:smallCaps/>
          <w:sz w:val="20"/>
          <w:lang w:val="en-GB"/>
        </w:rPr>
      </w:pPr>
    </w:p>
    <w:p w14:paraId="2B65EB03" w14:textId="1E837D73" w:rsidR="00C04B6B" w:rsidRDefault="00C04B6B" w:rsidP="00653D46">
      <w:pPr>
        <w:pStyle w:val="Testo1"/>
        <w:ind w:left="0" w:firstLine="0"/>
        <w:rPr>
          <w:rFonts w:ascii="Times New Roman" w:hAnsi="Times New Roman"/>
          <w:iCs/>
          <w:smallCaps/>
          <w:sz w:val="20"/>
          <w:lang w:val="en-GB"/>
        </w:rPr>
      </w:pPr>
    </w:p>
    <w:p w14:paraId="357060DF" w14:textId="77777777" w:rsidR="00C04B6B" w:rsidRPr="00C04B6B" w:rsidRDefault="00C04B6B" w:rsidP="00653D46">
      <w:pPr>
        <w:pStyle w:val="Testo1"/>
        <w:ind w:left="0" w:firstLine="0"/>
        <w:rPr>
          <w:rFonts w:ascii="Times New Roman" w:hAnsi="Times New Roman"/>
          <w:iCs/>
          <w:smallCaps/>
          <w:sz w:val="20"/>
          <w:lang w:val="en-GB"/>
        </w:rPr>
      </w:pPr>
    </w:p>
    <w:p w14:paraId="538936E7" w14:textId="369FAEA6" w:rsidR="00653D46" w:rsidRPr="00C04B6B" w:rsidRDefault="00653D46" w:rsidP="00653D46">
      <w:pPr>
        <w:pStyle w:val="Testo1"/>
        <w:rPr>
          <w:rFonts w:ascii="Times New Roman" w:hAnsi="Times New Roman"/>
          <w:b/>
          <w:sz w:val="20"/>
          <w:lang w:val="en-GB"/>
        </w:rPr>
      </w:pPr>
      <w:r w:rsidRPr="00C04B6B">
        <w:rPr>
          <w:rFonts w:ascii="Times New Roman" w:hAnsi="Times New Roman"/>
          <w:b/>
          <w:sz w:val="20"/>
          <w:lang w:val="en-GB"/>
        </w:rPr>
        <w:t>Point 3</w:t>
      </w:r>
    </w:p>
    <w:p w14:paraId="5F880ECE" w14:textId="77777777" w:rsidR="00B91878" w:rsidRPr="00C04B6B" w:rsidRDefault="00B91878" w:rsidP="00B91878">
      <w:pPr>
        <w:pStyle w:val="Testo1"/>
        <w:numPr>
          <w:ilvl w:val="0"/>
          <w:numId w:val="21"/>
        </w:numPr>
        <w:rPr>
          <w:rFonts w:ascii="Times New Roman" w:hAnsi="Times New Roman"/>
          <w:iCs/>
          <w:sz w:val="20"/>
          <w:lang w:val="en-GB"/>
        </w:rPr>
      </w:pPr>
      <w:r w:rsidRPr="00C04B6B">
        <w:rPr>
          <w:rFonts w:ascii="Times New Roman" w:hAnsi="Times New Roman"/>
          <w:iCs/>
          <w:sz w:val="20"/>
          <w:lang w:val="en-GB"/>
        </w:rPr>
        <w:t>J.</w:t>
      </w:r>
      <w:r w:rsidRPr="00C04B6B">
        <w:rPr>
          <w:rFonts w:ascii="Times New Roman" w:hAnsi="Times New Roman"/>
          <w:bCs/>
          <w:sz w:val="20"/>
          <w:lang w:val="en-GB"/>
        </w:rPr>
        <w:t xml:space="preserve"> </w:t>
      </w:r>
      <w:r w:rsidRPr="00C04B6B">
        <w:rPr>
          <w:rFonts w:ascii="Times New Roman" w:hAnsi="Times New Roman"/>
          <w:iCs/>
          <w:sz w:val="20"/>
          <w:lang w:val="en-GB"/>
        </w:rPr>
        <w:t>Stiglitz-A. Sen-J.P. Fitoussi, Report by the Commission on the Measurement of Economic Perfomance and Social Progress, 2009.</w:t>
      </w:r>
    </w:p>
    <w:p w14:paraId="01ACEFB9" w14:textId="77777777" w:rsidR="00B91878" w:rsidRPr="00C04B6B" w:rsidRDefault="00B91878" w:rsidP="00B91878">
      <w:pPr>
        <w:pStyle w:val="Testo1"/>
        <w:numPr>
          <w:ilvl w:val="0"/>
          <w:numId w:val="21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S. Lall, Competitiveness indices and developing countries, an economic evaluation of Global Competitiveness Report, World Delevopment, Vol. 29, N.9, pp. 1501-1525, 2001.</w:t>
      </w:r>
    </w:p>
    <w:p w14:paraId="4677F57E" w14:textId="5671B257" w:rsidR="00B91878" w:rsidRPr="00C04B6B" w:rsidRDefault="00B91878" w:rsidP="00B91878">
      <w:pPr>
        <w:pStyle w:val="Testo1"/>
        <w:numPr>
          <w:ilvl w:val="0"/>
          <w:numId w:val="21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The Global Competitiveness Report, World Economic Forum, last year available.</w:t>
      </w:r>
    </w:p>
    <w:p w14:paraId="0311AD68" w14:textId="4CF9EDD6" w:rsidR="00B91878" w:rsidRPr="00C04B6B" w:rsidRDefault="00B91878" w:rsidP="00B91878">
      <w:pPr>
        <w:pStyle w:val="Testo1"/>
        <w:numPr>
          <w:ilvl w:val="0"/>
          <w:numId w:val="21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Eas</w:t>
      </w:r>
      <w:r w:rsidR="00B7424F" w:rsidRPr="00C04B6B">
        <w:rPr>
          <w:rFonts w:ascii="Times New Roman" w:hAnsi="Times New Roman"/>
          <w:sz w:val="20"/>
          <w:lang w:val="en-GB"/>
        </w:rPr>
        <w:t>e of D</w:t>
      </w:r>
      <w:r w:rsidRPr="00C04B6B">
        <w:rPr>
          <w:rFonts w:ascii="Times New Roman" w:hAnsi="Times New Roman"/>
          <w:sz w:val="20"/>
          <w:lang w:val="en-GB"/>
        </w:rPr>
        <w:t>oing Business Report, World Bank, last year available.</w:t>
      </w:r>
    </w:p>
    <w:p w14:paraId="22E7D9D9" w14:textId="77777777" w:rsidR="00B7424F" w:rsidRPr="00C04B6B" w:rsidRDefault="00B7424F" w:rsidP="009560C3">
      <w:pPr>
        <w:pStyle w:val="Testo1"/>
        <w:ind w:left="0" w:firstLine="0"/>
        <w:rPr>
          <w:rFonts w:ascii="Times New Roman" w:hAnsi="Times New Roman"/>
          <w:iCs/>
          <w:smallCaps/>
          <w:sz w:val="20"/>
          <w:lang w:val="en-GB"/>
        </w:rPr>
      </w:pPr>
    </w:p>
    <w:p w14:paraId="2CFFEB42" w14:textId="6ABAC8D0" w:rsidR="00B7424F" w:rsidRPr="00C04B6B" w:rsidRDefault="00B7424F" w:rsidP="00B7424F">
      <w:pPr>
        <w:pStyle w:val="Testo1"/>
        <w:rPr>
          <w:rFonts w:ascii="Times New Roman" w:hAnsi="Times New Roman"/>
          <w:b/>
          <w:sz w:val="20"/>
          <w:lang w:val="en-GB"/>
        </w:rPr>
      </w:pPr>
      <w:r w:rsidRPr="00C04B6B">
        <w:rPr>
          <w:rFonts w:ascii="Times New Roman" w:hAnsi="Times New Roman"/>
          <w:b/>
          <w:sz w:val="20"/>
          <w:lang w:val="en-GB"/>
        </w:rPr>
        <w:t>Point 4</w:t>
      </w:r>
    </w:p>
    <w:p w14:paraId="434317E1" w14:textId="65D134B6" w:rsidR="00910E36" w:rsidRPr="00C04B6B" w:rsidRDefault="00910E36" w:rsidP="00910E36">
      <w:pPr>
        <w:pStyle w:val="Paragrafoelenco"/>
        <w:numPr>
          <w:ilvl w:val="0"/>
          <w:numId w:val="23"/>
        </w:numPr>
        <w:rPr>
          <w:noProof/>
          <w:lang w:val="en-GB"/>
        </w:rPr>
      </w:pPr>
      <w:r w:rsidRPr="00C04B6B">
        <w:rPr>
          <w:noProof/>
          <w:lang w:val="en-GB"/>
        </w:rPr>
        <w:t>Robert Feenstra and Alan M. Taylor (2017), International Macroeconomics, 4th edition, Macmillan, Chapter 9.</w:t>
      </w:r>
    </w:p>
    <w:p w14:paraId="26E5A51B" w14:textId="77777777" w:rsidR="00B7424F" w:rsidRPr="00C04B6B" w:rsidRDefault="00B7424F" w:rsidP="00B7424F">
      <w:pPr>
        <w:pStyle w:val="Testo1"/>
        <w:numPr>
          <w:ilvl w:val="0"/>
          <w:numId w:val="23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iCs/>
          <w:sz w:val="20"/>
          <w:lang w:val="en-GB"/>
        </w:rPr>
        <w:t>P. Manasse- N. Roubini</w:t>
      </w:r>
      <w:r w:rsidRPr="00C04B6B">
        <w:rPr>
          <w:rFonts w:ascii="Times New Roman" w:hAnsi="Times New Roman"/>
          <w:sz w:val="20"/>
          <w:lang w:val="en-GB"/>
        </w:rPr>
        <w:t>,"Rules of Thumb" for Sovereign Debt Crises, IMF working paper, WP/05/42.</w:t>
      </w:r>
    </w:p>
    <w:p w14:paraId="6FB97415" w14:textId="22CABF27" w:rsidR="009560C3" w:rsidRPr="00C04B6B" w:rsidRDefault="009560C3" w:rsidP="009560C3">
      <w:pPr>
        <w:pStyle w:val="Paragrafoelenco"/>
        <w:numPr>
          <w:ilvl w:val="0"/>
          <w:numId w:val="23"/>
        </w:numPr>
        <w:rPr>
          <w:lang w:val="en-US"/>
        </w:rPr>
      </w:pPr>
      <w:r w:rsidRPr="00C04B6B">
        <w:rPr>
          <w:lang w:val="en-US"/>
        </w:rPr>
        <w:t xml:space="preserve">Carmen Reinhart, Kenneth </w:t>
      </w:r>
      <w:proofErr w:type="spellStart"/>
      <w:r w:rsidRPr="00C04B6B">
        <w:rPr>
          <w:lang w:val="en-US"/>
        </w:rPr>
        <w:t>Rogoff</w:t>
      </w:r>
      <w:proofErr w:type="spellEnd"/>
      <w:r w:rsidRPr="00C04B6B">
        <w:rPr>
          <w:lang w:val="en-US"/>
        </w:rPr>
        <w:t>, 2008, This Time is Different: A Panoramic View of Eight Centuries of Financial Crisis, NBER Working Paper No. 13882. https://www.nber.org/system/files/working_papers/w13882/w13882.pdf</w:t>
      </w:r>
    </w:p>
    <w:p w14:paraId="52FBB7C7" w14:textId="77777777" w:rsidR="00B7424F" w:rsidRPr="00C04B6B" w:rsidRDefault="00B7424F" w:rsidP="009560C3">
      <w:pPr>
        <w:pStyle w:val="Paragrafoelenco"/>
        <w:numPr>
          <w:ilvl w:val="0"/>
          <w:numId w:val="23"/>
        </w:numPr>
        <w:rPr>
          <w:lang w:val="en-US"/>
        </w:rPr>
      </w:pPr>
      <w:r w:rsidRPr="00C04B6B">
        <w:rPr>
          <w:bCs/>
          <w:lang w:val="en-GB"/>
        </w:rPr>
        <w:t>The State of Public Finances Cross-Country Fiscal Monitor: November 2009, IMF Staff Position Note, November 3, 2009, SPN/09/25.</w:t>
      </w:r>
    </w:p>
    <w:p w14:paraId="2B2608A1" w14:textId="77777777" w:rsidR="00B7424F" w:rsidRPr="00C04B6B" w:rsidRDefault="00B7424F" w:rsidP="009560C3">
      <w:pPr>
        <w:pStyle w:val="Testo1"/>
        <w:ind w:left="0" w:firstLine="0"/>
        <w:rPr>
          <w:rFonts w:ascii="Times New Roman" w:hAnsi="Times New Roman"/>
          <w:iCs/>
          <w:smallCaps/>
          <w:sz w:val="20"/>
          <w:lang w:val="en-GB"/>
        </w:rPr>
      </w:pPr>
    </w:p>
    <w:p w14:paraId="61464D23" w14:textId="5D586357" w:rsidR="00B7424F" w:rsidRPr="00C04B6B" w:rsidRDefault="00B7424F" w:rsidP="00B7424F">
      <w:pPr>
        <w:pStyle w:val="Testo1"/>
        <w:rPr>
          <w:rFonts w:ascii="Times New Roman" w:hAnsi="Times New Roman"/>
          <w:b/>
          <w:sz w:val="20"/>
          <w:lang w:val="en-GB"/>
        </w:rPr>
      </w:pPr>
      <w:r w:rsidRPr="00C04B6B">
        <w:rPr>
          <w:rFonts w:ascii="Times New Roman" w:hAnsi="Times New Roman"/>
          <w:b/>
          <w:sz w:val="20"/>
          <w:lang w:val="en-GB"/>
        </w:rPr>
        <w:t>Point 5</w:t>
      </w:r>
    </w:p>
    <w:p w14:paraId="76C4F7F4" w14:textId="77777777" w:rsidR="00866C63" w:rsidRPr="00C04B6B" w:rsidRDefault="00866C63" w:rsidP="00866C63">
      <w:pPr>
        <w:numPr>
          <w:ilvl w:val="0"/>
          <w:numId w:val="22"/>
        </w:numPr>
        <w:rPr>
          <w:lang w:val="en-US"/>
        </w:rPr>
      </w:pPr>
      <w:r w:rsidRPr="00C04B6B">
        <w:rPr>
          <w:lang w:val="en-GB"/>
        </w:rPr>
        <w:t xml:space="preserve">Gary D. </w:t>
      </w:r>
      <w:proofErr w:type="spellStart"/>
      <w:r w:rsidRPr="00C04B6B">
        <w:rPr>
          <w:lang w:val="en-GB"/>
        </w:rPr>
        <w:t>Libecap</w:t>
      </w:r>
      <w:proofErr w:type="spellEnd"/>
      <w:r w:rsidRPr="00C04B6B">
        <w:rPr>
          <w:lang w:val="en-GB"/>
        </w:rPr>
        <w:t xml:space="preserve">, Addressing Global Environmental Externalities: Transaction Costs Considerations, </w:t>
      </w:r>
      <w:r w:rsidRPr="00C04B6B">
        <w:rPr>
          <w:lang w:val="en-US"/>
        </w:rPr>
        <w:t xml:space="preserve">Journal of Economic Literature 2014, 52(2), 424–479. </w:t>
      </w:r>
      <w:hyperlink r:id="rId12" w:history="1">
        <w:r w:rsidRPr="00C04B6B">
          <w:rPr>
            <w:rStyle w:val="Collegamentoipertestuale"/>
            <w:lang w:val="en-US"/>
          </w:rPr>
          <w:t>http</w:t>
        </w:r>
      </w:hyperlink>
      <w:hyperlink r:id="rId13" w:history="1">
        <w:r w:rsidRPr="00C04B6B">
          <w:rPr>
            <w:rStyle w:val="Collegamentoipertestuale"/>
            <w:lang w:val="en-US"/>
          </w:rPr>
          <w:t>://</w:t>
        </w:r>
      </w:hyperlink>
      <w:hyperlink r:id="rId14" w:history="1">
        <w:r w:rsidRPr="00C04B6B">
          <w:rPr>
            <w:rStyle w:val="Collegamentoipertestuale"/>
            <w:lang w:val="en-US"/>
          </w:rPr>
          <w:t>dx.doi.org/10.1257/jel.52.2.424</w:t>
        </w:r>
      </w:hyperlink>
    </w:p>
    <w:p w14:paraId="728ADC03" w14:textId="6466BAAF" w:rsidR="00B7424F" w:rsidRPr="00C04B6B" w:rsidRDefault="00B7424F" w:rsidP="00B7424F">
      <w:pPr>
        <w:pStyle w:val="Testo1"/>
        <w:numPr>
          <w:ilvl w:val="0"/>
          <w:numId w:val="22"/>
        </w:numPr>
        <w:rPr>
          <w:rFonts w:ascii="Times New Roman" w:hAnsi="Times New Roman"/>
          <w:sz w:val="20"/>
          <w:lang w:val="en-US"/>
        </w:rPr>
      </w:pPr>
      <w:r w:rsidRPr="00C04B6B">
        <w:rPr>
          <w:rFonts w:ascii="Times New Roman" w:hAnsi="Times New Roman"/>
          <w:sz w:val="20"/>
          <w:lang w:val="en-US"/>
        </w:rPr>
        <w:t>The sustainable development goals report, United Nations</w:t>
      </w:r>
      <w:r w:rsidRPr="00C04B6B">
        <w:rPr>
          <w:rFonts w:ascii="Times New Roman" w:hAnsi="Times New Roman"/>
          <w:sz w:val="20"/>
          <w:lang w:val="en-GB"/>
        </w:rPr>
        <w:t>, last year available.</w:t>
      </w:r>
    </w:p>
    <w:p w14:paraId="1FA2D9AB" w14:textId="77777777" w:rsidR="00DD6208" w:rsidRPr="00C04B6B" w:rsidRDefault="00DD6208" w:rsidP="003515F3">
      <w:pPr>
        <w:pStyle w:val="Testo1"/>
        <w:rPr>
          <w:rFonts w:ascii="Times New Roman" w:hAnsi="Times New Roman"/>
          <w:iCs/>
          <w:smallCaps/>
          <w:sz w:val="20"/>
          <w:lang w:val="en-GB"/>
        </w:rPr>
      </w:pPr>
    </w:p>
    <w:p w14:paraId="21261ED8" w14:textId="77777777" w:rsidR="008F6ED5" w:rsidRPr="00C04B6B" w:rsidRDefault="008F6ED5" w:rsidP="003515F3">
      <w:pPr>
        <w:rPr>
          <w:b/>
          <w:i/>
          <w:smallCaps/>
          <w:lang w:val="en-GB"/>
        </w:rPr>
      </w:pPr>
    </w:p>
    <w:p w14:paraId="4E7A0967" w14:textId="77777777" w:rsidR="003515F3" w:rsidRPr="00C04B6B" w:rsidRDefault="003515F3" w:rsidP="003515F3">
      <w:pPr>
        <w:rPr>
          <w:b/>
          <w:i/>
          <w:smallCaps/>
          <w:lang w:val="en-GB"/>
        </w:rPr>
      </w:pPr>
      <w:r w:rsidRPr="00C04B6B">
        <w:rPr>
          <w:b/>
          <w:i/>
          <w:smallCaps/>
          <w:lang w:val="en-GB"/>
        </w:rPr>
        <w:t xml:space="preserve">TEACHING METHOD </w:t>
      </w:r>
    </w:p>
    <w:p w14:paraId="3AC79274" w14:textId="77777777" w:rsidR="003515F3" w:rsidRPr="00C04B6B" w:rsidRDefault="003515F3" w:rsidP="003515F3">
      <w:pPr>
        <w:autoSpaceDE w:val="0"/>
        <w:autoSpaceDN w:val="0"/>
        <w:adjustRightInd w:val="0"/>
        <w:jc w:val="both"/>
        <w:rPr>
          <w:lang w:val="en-GB"/>
        </w:rPr>
      </w:pPr>
    </w:p>
    <w:p w14:paraId="154A4469" w14:textId="532FF3E3" w:rsidR="003515F3" w:rsidRPr="00C04B6B" w:rsidRDefault="003515F3" w:rsidP="003515F3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Lectures</w:t>
      </w:r>
      <w:r w:rsidR="003E419A" w:rsidRPr="00C04B6B">
        <w:rPr>
          <w:rFonts w:ascii="Times New Roman" w:hAnsi="Times New Roman"/>
          <w:sz w:val="20"/>
          <w:lang w:val="en-GB"/>
        </w:rPr>
        <w:t>, case studies</w:t>
      </w:r>
      <w:r w:rsidRPr="00C04B6B">
        <w:rPr>
          <w:rFonts w:ascii="Times New Roman" w:hAnsi="Times New Roman"/>
          <w:sz w:val="20"/>
          <w:lang w:val="en-GB"/>
        </w:rPr>
        <w:t xml:space="preserve"> and practical exercises carried out with</w:t>
      </w:r>
      <w:r w:rsidR="00B210E3" w:rsidRPr="00C04B6B">
        <w:rPr>
          <w:rFonts w:ascii="Times New Roman" w:hAnsi="Times New Roman"/>
          <w:sz w:val="20"/>
          <w:lang w:val="en-GB"/>
        </w:rPr>
        <w:t xml:space="preserve"> the guidance of the professor.</w:t>
      </w:r>
      <w:r w:rsidRPr="00C04B6B">
        <w:rPr>
          <w:rFonts w:ascii="Times New Roman" w:hAnsi="Times New Roman"/>
          <w:sz w:val="20"/>
          <w:lang w:val="en-GB"/>
        </w:rPr>
        <w:t xml:space="preserve"> </w:t>
      </w:r>
    </w:p>
    <w:p w14:paraId="5D2F2292" w14:textId="77777777" w:rsidR="003515F3" w:rsidRPr="00C04B6B" w:rsidRDefault="003515F3" w:rsidP="003515F3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585A972F" w14:textId="77777777" w:rsidR="003E419A" w:rsidRPr="00C04B6B" w:rsidRDefault="003E419A" w:rsidP="003515F3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744E1E3E" w14:textId="77777777" w:rsidR="003515F3" w:rsidRPr="00C04B6B" w:rsidRDefault="003515F3" w:rsidP="003515F3">
      <w:pPr>
        <w:spacing w:after="120"/>
        <w:rPr>
          <w:b/>
          <w:i/>
          <w:smallCaps/>
          <w:lang w:val="en-GB"/>
        </w:rPr>
      </w:pPr>
      <w:r w:rsidRPr="00C04B6B">
        <w:rPr>
          <w:b/>
          <w:i/>
          <w:smallCaps/>
          <w:lang w:val="en-GB"/>
        </w:rPr>
        <w:t xml:space="preserve">ASSESSMENT METHOD </w:t>
      </w:r>
    </w:p>
    <w:p w14:paraId="368EA1C9" w14:textId="58BF489F" w:rsidR="00543827" w:rsidRPr="00C04B6B" w:rsidRDefault="00543827" w:rsidP="003515F3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There are three distinct evaluations during the course</w:t>
      </w:r>
    </w:p>
    <w:p w14:paraId="1DB58BC2" w14:textId="366BDA71" w:rsidR="00543827" w:rsidRPr="00C04B6B" w:rsidRDefault="00543827" w:rsidP="00543827">
      <w:pPr>
        <w:pStyle w:val="Testo2"/>
        <w:numPr>
          <w:ilvl w:val="0"/>
          <w:numId w:val="25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Active participation* (10%)</w:t>
      </w:r>
    </w:p>
    <w:p w14:paraId="7302031C" w14:textId="63911007" w:rsidR="00543827" w:rsidRPr="00C04B6B" w:rsidRDefault="00543827" w:rsidP="00543827">
      <w:pPr>
        <w:pStyle w:val="Testo2"/>
        <w:numPr>
          <w:ilvl w:val="0"/>
          <w:numId w:val="25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Group Work (30%)</w:t>
      </w:r>
    </w:p>
    <w:p w14:paraId="00FF7751" w14:textId="4F20BFD3" w:rsidR="00543827" w:rsidRPr="00C04B6B" w:rsidRDefault="00543827" w:rsidP="00543827">
      <w:pPr>
        <w:pStyle w:val="Testo2"/>
        <w:numPr>
          <w:ilvl w:val="0"/>
          <w:numId w:val="25"/>
        </w:numPr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Final exam (60%)</w:t>
      </w:r>
    </w:p>
    <w:p w14:paraId="62B81E55" w14:textId="77777777" w:rsidR="00543827" w:rsidRPr="00C04B6B" w:rsidRDefault="00543827" w:rsidP="00543827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18E17CD4" w14:textId="62A80441" w:rsidR="00543827" w:rsidRPr="00C04B6B" w:rsidRDefault="00543827" w:rsidP="003515F3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C04B6B">
        <w:rPr>
          <w:rFonts w:ascii="Times New Roman" w:hAnsi="Times New Roman"/>
          <w:sz w:val="20"/>
          <w:lang w:val="en-GB"/>
        </w:rPr>
        <w:t>(* active participation can be substituted by an oral exam)</w:t>
      </w:r>
    </w:p>
    <w:p w14:paraId="4B2ABAF9" w14:textId="77777777" w:rsidR="00840A19" w:rsidRPr="00C04B6B" w:rsidRDefault="00840A19" w:rsidP="00840A19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257255DE" w14:textId="77777777" w:rsidR="00754616" w:rsidRPr="00C04B6B" w:rsidRDefault="00754616" w:rsidP="00754616">
      <w:pPr>
        <w:pStyle w:val="Normale1"/>
        <w:spacing w:after="120"/>
        <w:outlineLvl w:val="0"/>
        <w:rPr>
          <w:rFonts w:ascii="Times New Roman" w:hAnsi="Times New Roman"/>
          <w:sz w:val="20"/>
          <w:szCs w:val="20"/>
          <w:lang w:val="en-US"/>
        </w:rPr>
      </w:pPr>
    </w:p>
    <w:p w14:paraId="2E54E590" w14:textId="77777777" w:rsidR="00754616" w:rsidRPr="00C04B6B" w:rsidRDefault="00754616" w:rsidP="00754616">
      <w:pPr>
        <w:keepNext/>
        <w:spacing w:before="240" w:after="120"/>
        <w:outlineLvl w:val="3"/>
        <w:rPr>
          <w:b/>
          <w:bCs/>
          <w:i/>
          <w:lang w:val="en-GB"/>
        </w:rPr>
      </w:pPr>
      <w:r w:rsidRPr="00C04B6B">
        <w:rPr>
          <w:b/>
          <w:bCs/>
          <w:i/>
          <w:lang w:val="en-GB"/>
        </w:rPr>
        <w:t>NOTES</w:t>
      </w:r>
    </w:p>
    <w:p w14:paraId="7B4850D8" w14:textId="3D0CC7DF" w:rsidR="00754616" w:rsidRPr="00C04B6B" w:rsidRDefault="00B210E3" w:rsidP="00754616">
      <w:pPr>
        <w:spacing w:line="220" w:lineRule="exact"/>
        <w:rPr>
          <w:lang w:val="en-GB"/>
        </w:rPr>
      </w:pPr>
      <w:r w:rsidRPr="00C04B6B">
        <w:rPr>
          <w:lang w:val="en-GB"/>
        </w:rPr>
        <w:t xml:space="preserve">Office hours upon request via email to </w:t>
      </w:r>
      <w:hyperlink r:id="rId15" w:history="1">
        <w:r w:rsidRPr="00C04B6B">
          <w:rPr>
            <w:rStyle w:val="Collegamentoipertestuale"/>
            <w:lang w:val="en-GB"/>
          </w:rPr>
          <w:t>martin.zagler+ucsc@gmail.com</w:t>
        </w:r>
      </w:hyperlink>
    </w:p>
    <w:p w14:paraId="4F875C85" w14:textId="77777777" w:rsidR="00B210E3" w:rsidRPr="00C04B6B" w:rsidRDefault="00B210E3" w:rsidP="00754616">
      <w:pPr>
        <w:spacing w:line="220" w:lineRule="exact"/>
        <w:rPr>
          <w:lang w:val="en-GB"/>
        </w:rPr>
      </w:pPr>
    </w:p>
    <w:p w14:paraId="377199D7" w14:textId="77777777" w:rsidR="00AA0734" w:rsidRPr="00C04B6B" w:rsidRDefault="00AA0734" w:rsidP="00AA0734">
      <w:pPr>
        <w:rPr>
          <w:lang w:val="en-GB"/>
        </w:rPr>
      </w:pPr>
    </w:p>
    <w:sectPr w:rsidR="00AA0734" w:rsidRPr="00C04B6B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BA71" w14:textId="77777777" w:rsidR="00A864CA" w:rsidRDefault="00A864CA">
      <w:r>
        <w:separator/>
      </w:r>
    </w:p>
  </w:endnote>
  <w:endnote w:type="continuationSeparator" w:id="0">
    <w:p w14:paraId="77E75A69" w14:textId="77777777" w:rsidR="00A864CA" w:rsidRDefault="00A8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0229E" w14:textId="77777777" w:rsidR="00A864CA" w:rsidRDefault="00A864CA">
      <w:r>
        <w:separator/>
      </w:r>
    </w:p>
  </w:footnote>
  <w:footnote w:type="continuationSeparator" w:id="0">
    <w:p w14:paraId="4C687E03" w14:textId="77777777" w:rsidR="00A864CA" w:rsidRDefault="00A864CA">
      <w:r>
        <w:continuationSeparator/>
      </w:r>
    </w:p>
  </w:footnote>
  <w:footnote w:id="1">
    <w:p w14:paraId="46462124" w14:textId="004F349D" w:rsidR="00403399" w:rsidRDefault="004033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AA2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7F3C"/>
    <w:multiLevelType w:val="hybridMultilevel"/>
    <w:tmpl w:val="00923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60BAC"/>
    <w:multiLevelType w:val="hybridMultilevel"/>
    <w:tmpl w:val="35A6884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C7528"/>
    <w:multiLevelType w:val="hybridMultilevel"/>
    <w:tmpl w:val="8D64CD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B52FC"/>
    <w:multiLevelType w:val="hybridMultilevel"/>
    <w:tmpl w:val="C010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C2D"/>
    <w:multiLevelType w:val="multilevel"/>
    <w:tmpl w:val="D4320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B2163"/>
    <w:multiLevelType w:val="hybridMultilevel"/>
    <w:tmpl w:val="26CCB29E"/>
    <w:lvl w:ilvl="0" w:tplc="E9725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C4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8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07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E6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67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40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87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5558F"/>
    <w:multiLevelType w:val="hybridMultilevel"/>
    <w:tmpl w:val="BE8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0B9C"/>
    <w:multiLevelType w:val="hybridMultilevel"/>
    <w:tmpl w:val="017069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91612"/>
    <w:multiLevelType w:val="multilevel"/>
    <w:tmpl w:val="7C4E41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672EF"/>
    <w:multiLevelType w:val="hybridMultilevel"/>
    <w:tmpl w:val="32648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10B70"/>
    <w:multiLevelType w:val="hybridMultilevel"/>
    <w:tmpl w:val="CCFC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6782"/>
    <w:multiLevelType w:val="hybridMultilevel"/>
    <w:tmpl w:val="ACB2C778"/>
    <w:lvl w:ilvl="0" w:tplc="036E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622AC"/>
    <w:multiLevelType w:val="hybridMultilevel"/>
    <w:tmpl w:val="D432099C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60232"/>
    <w:multiLevelType w:val="hybridMultilevel"/>
    <w:tmpl w:val="CA64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2F4E"/>
    <w:multiLevelType w:val="hybridMultilevel"/>
    <w:tmpl w:val="E986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A7CC9"/>
    <w:multiLevelType w:val="multilevel"/>
    <w:tmpl w:val="0170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775EDA"/>
    <w:multiLevelType w:val="multilevel"/>
    <w:tmpl w:val="D4320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A1EB8"/>
    <w:multiLevelType w:val="hybridMultilevel"/>
    <w:tmpl w:val="B7D05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90612"/>
    <w:multiLevelType w:val="hybridMultilevel"/>
    <w:tmpl w:val="FFA28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904A7"/>
    <w:multiLevelType w:val="hybridMultilevel"/>
    <w:tmpl w:val="3B1E651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42219A"/>
    <w:multiLevelType w:val="hybridMultilevel"/>
    <w:tmpl w:val="F4E81ECC"/>
    <w:lvl w:ilvl="0" w:tplc="45A419B0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47C5"/>
    <w:multiLevelType w:val="hybridMultilevel"/>
    <w:tmpl w:val="312A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1047D"/>
    <w:multiLevelType w:val="multilevel"/>
    <w:tmpl w:val="8D64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9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</w:num>
  <w:num w:numId="9">
    <w:abstractNumId w:val="13"/>
  </w:num>
  <w:num w:numId="10">
    <w:abstractNumId w:val="16"/>
  </w:num>
  <w:num w:numId="11">
    <w:abstractNumId w:val="18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  <w:num w:numId="16">
    <w:abstractNumId w:val="17"/>
  </w:num>
  <w:num w:numId="17">
    <w:abstractNumId w:val="6"/>
  </w:num>
  <w:num w:numId="18">
    <w:abstractNumId w:val="4"/>
  </w:num>
  <w:num w:numId="19">
    <w:abstractNumId w:val="2"/>
  </w:num>
  <w:num w:numId="20">
    <w:abstractNumId w:val="21"/>
  </w:num>
  <w:num w:numId="21">
    <w:abstractNumId w:val="15"/>
  </w:num>
  <w:num w:numId="22">
    <w:abstractNumId w:val="14"/>
  </w:num>
  <w:num w:numId="23">
    <w:abstractNumId w:val="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34"/>
    <w:rsid w:val="00025A02"/>
    <w:rsid w:val="00074687"/>
    <w:rsid w:val="00094B4C"/>
    <w:rsid w:val="001302F8"/>
    <w:rsid w:val="00154E51"/>
    <w:rsid w:val="001A3A42"/>
    <w:rsid w:val="002B6050"/>
    <w:rsid w:val="00313738"/>
    <w:rsid w:val="0032573F"/>
    <w:rsid w:val="003515F3"/>
    <w:rsid w:val="003C1427"/>
    <w:rsid w:val="003E419A"/>
    <w:rsid w:val="00403399"/>
    <w:rsid w:val="004A233F"/>
    <w:rsid w:val="00542825"/>
    <w:rsid w:val="00543827"/>
    <w:rsid w:val="0054413F"/>
    <w:rsid w:val="005B76A2"/>
    <w:rsid w:val="005D3D52"/>
    <w:rsid w:val="00653D46"/>
    <w:rsid w:val="00684FD6"/>
    <w:rsid w:val="006B5A1B"/>
    <w:rsid w:val="006B7E7A"/>
    <w:rsid w:val="006E08F0"/>
    <w:rsid w:val="00742D4E"/>
    <w:rsid w:val="00754616"/>
    <w:rsid w:val="007C2C9A"/>
    <w:rsid w:val="007D4D4F"/>
    <w:rsid w:val="007F277A"/>
    <w:rsid w:val="00837535"/>
    <w:rsid w:val="00840A19"/>
    <w:rsid w:val="00866C63"/>
    <w:rsid w:val="008A00E5"/>
    <w:rsid w:val="008B0946"/>
    <w:rsid w:val="008B19FD"/>
    <w:rsid w:val="008F4EB6"/>
    <w:rsid w:val="008F629A"/>
    <w:rsid w:val="008F6ED5"/>
    <w:rsid w:val="00910E36"/>
    <w:rsid w:val="00917188"/>
    <w:rsid w:val="009560C3"/>
    <w:rsid w:val="00963D35"/>
    <w:rsid w:val="00963FBD"/>
    <w:rsid w:val="009874C1"/>
    <w:rsid w:val="009948D0"/>
    <w:rsid w:val="009E1B35"/>
    <w:rsid w:val="00A02402"/>
    <w:rsid w:val="00A314F7"/>
    <w:rsid w:val="00A57D07"/>
    <w:rsid w:val="00A864CA"/>
    <w:rsid w:val="00A92E07"/>
    <w:rsid w:val="00AA0734"/>
    <w:rsid w:val="00AA1520"/>
    <w:rsid w:val="00AB17D8"/>
    <w:rsid w:val="00AE6641"/>
    <w:rsid w:val="00B210E3"/>
    <w:rsid w:val="00B47E0D"/>
    <w:rsid w:val="00B7424F"/>
    <w:rsid w:val="00B91878"/>
    <w:rsid w:val="00B97CD5"/>
    <w:rsid w:val="00C04B6B"/>
    <w:rsid w:val="00C32EEE"/>
    <w:rsid w:val="00C573C4"/>
    <w:rsid w:val="00D3757F"/>
    <w:rsid w:val="00D51334"/>
    <w:rsid w:val="00DC2241"/>
    <w:rsid w:val="00DD6208"/>
    <w:rsid w:val="00DE398C"/>
    <w:rsid w:val="00DE5A95"/>
    <w:rsid w:val="00E25A72"/>
    <w:rsid w:val="00EB0E39"/>
    <w:rsid w:val="00EF210C"/>
    <w:rsid w:val="00F07BCD"/>
    <w:rsid w:val="00F11C51"/>
    <w:rsid w:val="00F41C4A"/>
    <w:rsid w:val="00F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A8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734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54616"/>
    <w:rPr>
      <w:color w:val="0000FF"/>
      <w:u w:val="single"/>
    </w:rPr>
  </w:style>
  <w:style w:type="paragraph" w:customStyle="1" w:styleId="Normale1">
    <w:name w:val="Normale1"/>
    <w:rsid w:val="00754616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Testo2Carattere">
    <w:name w:val="Testo 2 Carattere"/>
    <w:link w:val="Testo2"/>
    <w:locked/>
    <w:rsid w:val="0075461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40A19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5B76A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33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99"/>
  </w:style>
  <w:style w:type="character" w:styleId="Rimandonotaapidipagina">
    <w:name w:val="footnote reference"/>
    <w:basedOn w:val="Carpredefinitoparagrafo"/>
    <w:semiHidden/>
    <w:unhideWhenUsed/>
    <w:rsid w:val="004033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734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54616"/>
    <w:rPr>
      <w:color w:val="0000FF"/>
      <w:u w:val="single"/>
    </w:rPr>
  </w:style>
  <w:style w:type="paragraph" w:customStyle="1" w:styleId="Normale1">
    <w:name w:val="Normale1"/>
    <w:rsid w:val="00754616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Testo2Carattere">
    <w:name w:val="Testo 2 Carattere"/>
    <w:link w:val="Testo2"/>
    <w:locked/>
    <w:rsid w:val="0075461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40A19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5B76A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33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99"/>
  </w:style>
  <w:style w:type="character" w:styleId="Rimandonotaapidipagina">
    <w:name w:val="footnote reference"/>
    <w:basedOn w:val="Carpredefinitoparagrafo"/>
    <w:semiHidden/>
    <w:unhideWhenUsed/>
    <w:rsid w:val="00403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x.doi.org/10.1257/jel.52.2.424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x.doi.org/10.1257/jel.52.2.4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artin.zagler+ucsc@gmail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x.doi.org/10.1257/jel.52.2.4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DAF-8523-43D0-B9AA-4AFB7B365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B0F0-5BB1-44C6-AB56-7AE441F5ADCC}">
  <ds:schemaRefs>
    <ds:schemaRef ds:uri="189edbf7-6629-4be8-98e2-0a629d83435f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9cdee98-039f-42ef-84e8-bcafbefa6ce6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708A33-FFB6-43DE-B9B6-6D86877FC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E440E-CE04-414C-A802-09F3F09D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25</TotalTime>
  <Pages>2</Pages>
  <Words>619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U.C.S.C. MILANO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paola.fiori</dc:creator>
  <cp:lastModifiedBy>Rolli Andrea</cp:lastModifiedBy>
  <cp:revision>13</cp:revision>
  <cp:lastPrinted>2003-03-27T09:42:00Z</cp:lastPrinted>
  <dcterms:created xsi:type="dcterms:W3CDTF">2021-05-11T12:05:00Z</dcterms:created>
  <dcterms:modified xsi:type="dcterms:W3CDTF">2021-07-30T07:12:00Z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