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E1EAB" w14:textId="361DE1FE" w:rsidR="005006A0" w:rsidRPr="002F7B62" w:rsidRDefault="005006A0" w:rsidP="005006A0">
      <w:pPr>
        <w:pStyle w:val="Titolo1"/>
        <w:rPr>
          <w:rFonts w:ascii="Times New Roman" w:hAnsi="Times New Roman"/>
        </w:rPr>
      </w:pPr>
      <w:r w:rsidRPr="002F7B62">
        <w:rPr>
          <w:rFonts w:ascii="Times New Roman" w:hAnsi="Times New Roman"/>
        </w:rPr>
        <w:t>Economia della crisi di impresa</w:t>
      </w:r>
    </w:p>
    <w:p w14:paraId="2CFB39E6" w14:textId="77777777" w:rsidR="005006A0" w:rsidRPr="002F7B62" w:rsidRDefault="005006A0" w:rsidP="005006A0">
      <w:pPr>
        <w:pStyle w:val="Titolo2"/>
        <w:rPr>
          <w:rFonts w:ascii="Times New Roman" w:hAnsi="Times New Roman"/>
          <w:sz w:val="20"/>
        </w:rPr>
      </w:pPr>
      <w:r w:rsidRPr="002F7B62">
        <w:rPr>
          <w:rFonts w:ascii="Times New Roman" w:hAnsi="Times New Roman"/>
          <w:sz w:val="20"/>
        </w:rPr>
        <w:t>Prof. Marco Ciccozzi</w:t>
      </w:r>
    </w:p>
    <w:p w14:paraId="3CE8F3BD" w14:textId="77777777" w:rsidR="005006A0" w:rsidRPr="002F7B62" w:rsidRDefault="005006A0" w:rsidP="005006A0">
      <w:pPr>
        <w:spacing w:before="240" w:after="120"/>
        <w:rPr>
          <w:rFonts w:ascii="Times New Roman" w:hAnsi="Times New Roman"/>
          <w:b/>
        </w:rPr>
      </w:pPr>
      <w:r w:rsidRPr="002F7B62">
        <w:rPr>
          <w:rFonts w:ascii="Times New Roman" w:hAnsi="Times New Roman"/>
          <w:b/>
          <w:i/>
        </w:rPr>
        <w:t>OBIETTIVI DEL CORSO E RISULTATI DI APPRENDIMENTO ATTESI</w:t>
      </w:r>
    </w:p>
    <w:p w14:paraId="4FDB6E11" w14:textId="72695E43" w:rsidR="005006A0" w:rsidRPr="002F7B62" w:rsidRDefault="00684FBB" w:rsidP="00E642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corso </w:t>
      </w:r>
      <w:r w:rsidR="005006A0" w:rsidRPr="002F7B62">
        <w:rPr>
          <w:rFonts w:ascii="Times New Roman" w:hAnsi="Times New Roman"/>
        </w:rPr>
        <w:t xml:space="preserve">si propone di fornire agli studenti una generale comprensione </w:t>
      </w:r>
      <w:r w:rsidR="00547FE9" w:rsidRPr="002F7B62">
        <w:rPr>
          <w:rFonts w:ascii="Times New Roman" w:hAnsi="Times New Roman"/>
        </w:rPr>
        <w:t xml:space="preserve">in merito alle modalità di utilizzo degli strumenti previsti dall’ordinamento per la regolazione della crisi, anche tenuto conto delle previsioni contenute nel </w:t>
      </w:r>
      <w:r w:rsidR="005006A0" w:rsidRPr="002F7B62">
        <w:rPr>
          <w:rFonts w:ascii="Times New Roman" w:hAnsi="Times New Roman"/>
        </w:rPr>
        <w:t xml:space="preserve">Codice della Crisi e dell’Insolvenza (CCI) di cui al </w:t>
      </w:r>
      <w:proofErr w:type="spellStart"/>
      <w:proofErr w:type="gramStart"/>
      <w:r w:rsidR="005006A0" w:rsidRPr="002F7B62">
        <w:rPr>
          <w:rFonts w:ascii="Times New Roman" w:hAnsi="Times New Roman"/>
        </w:rPr>
        <w:t>D.Lgs</w:t>
      </w:r>
      <w:proofErr w:type="spellEnd"/>
      <w:proofErr w:type="gramEnd"/>
      <w:r w:rsidR="005006A0" w:rsidRPr="002F7B62">
        <w:rPr>
          <w:rFonts w:ascii="Times New Roman" w:hAnsi="Times New Roman"/>
        </w:rPr>
        <w:t xml:space="preserve"> n 14/2019</w:t>
      </w:r>
      <w:r w:rsidR="00564AFF">
        <w:rPr>
          <w:rFonts w:ascii="Times New Roman" w:hAnsi="Times New Roman"/>
        </w:rPr>
        <w:t xml:space="preserve"> già entrate in vigore e di quelle che dovranno essere adottate</w:t>
      </w:r>
      <w:r w:rsidR="00547FE9" w:rsidRPr="002F7B62">
        <w:rPr>
          <w:rFonts w:ascii="Times New Roman" w:hAnsi="Times New Roman"/>
        </w:rPr>
        <w:t>. S</w:t>
      </w:r>
      <w:r w:rsidR="005006A0" w:rsidRPr="002F7B62">
        <w:rPr>
          <w:rFonts w:ascii="Times New Roman" w:hAnsi="Times New Roman"/>
        </w:rPr>
        <w:t xml:space="preserve">pecifica </w:t>
      </w:r>
      <w:r w:rsidR="00547FE9" w:rsidRPr="002F7B62">
        <w:rPr>
          <w:rFonts w:ascii="Times New Roman" w:hAnsi="Times New Roman"/>
        </w:rPr>
        <w:t>attenzione verrà dedicata sia a</w:t>
      </w:r>
      <w:r w:rsidR="005006A0" w:rsidRPr="002F7B62">
        <w:rPr>
          <w:rFonts w:ascii="Times New Roman" w:hAnsi="Times New Roman"/>
        </w:rPr>
        <w:t xml:space="preserve">gli indicatori e </w:t>
      </w:r>
      <w:r w:rsidR="002F7B62" w:rsidRPr="002F7B62">
        <w:rPr>
          <w:rFonts w:ascii="Times New Roman" w:hAnsi="Times New Roman"/>
        </w:rPr>
        <w:t>al</w:t>
      </w:r>
      <w:r w:rsidR="005006A0" w:rsidRPr="002F7B62">
        <w:rPr>
          <w:rFonts w:ascii="Times New Roman" w:hAnsi="Times New Roman"/>
        </w:rPr>
        <w:t>le procedure di allerta della Crisi sia ai diversi ruoli degli attori della gestione della Crisi (Organi sociali/Advisor/Atte</w:t>
      </w:r>
      <w:r w:rsidR="00547FE9" w:rsidRPr="002F7B62">
        <w:rPr>
          <w:rFonts w:ascii="Times New Roman" w:hAnsi="Times New Roman"/>
        </w:rPr>
        <w:t>statori/ Commissari/Liquidatori</w:t>
      </w:r>
      <w:r w:rsidR="005006A0" w:rsidRPr="002F7B62">
        <w:rPr>
          <w:rFonts w:ascii="Times New Roman" w:hAnsi="Times New Roman"/>
        </w:rPr>
        <w:t xml:space="preserve">) nonché alle </w:t>
      </w:r>
      <w:r w:rsidR="00547FE9" w:rsidRPr="002F7B62">
        <w:rPr>
          <w:rFonts w:ascii="Times New Roman" w:hAnsi="Times New Roman"/>
        </w:rPr>
        <w:t>specifiche</w:t>
      </w:r>
      <w:r w:rsidR="005006A0" w:rsidRPr="002F7B62">
        <w:rPr>
          <w:rFonts w:ascii="Times New Roman" w:hAnsi="Times New Roman"/>
        </w:rPr>
        <w:t xml:space="preserve"> attività cui sono chiamati gli stessi </w:t>
      </w:r>
      <w:r w:rsidR="00564AFF">
        <w:rPr>
          <w:rFonts w:ascii="Times New Roman" w:hAnsi="Times New Roman"/>
        </w:rPr>
        <w:t xml:space="preserve">sia in relazione alla normativa attualmente vigente sia in relazione a quelle previste </w:t>
      </w:r>
      <w:r w:rsidR="005006A0" w:rsidRPr="002F7B62">
        <w:rPr>
          <w:rFonts w:ascii="Times New Roman" w:hAnsi="Times New Roman"/>
        </w:rPr>
        <w:t xml:space="preserve">dal nuovo CCI. Scopo dell’insegnamento è altresì che i partecipanti acquisiscano conoscenze specifiche in tema di predisposizione di Piani di risanamento in relazione ai diversi </w:t>
      </w:r>
      <w:r w:rsidR="00547FE9" w:rsidRPr="002F7B62">
        <w:rPr>
          <w:rFonts w:ascii="Times New Roman" w:hAnsi="Times New Roman"/>
        </w:rPr>
        <w:t>istituti</w:t>
      </w:r>
      <w:r w:rsidR="005006A0" w:rsidRPr="002F7B62">
        <w:rPr>
          <w:rFonts w:ascii="Times New Roman" w:hAnsi="Times New Roman"/>
        </w:rPr>
        <w:t xml:space="preserve"> previsti dalla norma ed in relazione ai principi che sottendono il rilascio delle “attestazioni” relative ai piani stessi nonché alla gestione dei Piani stessi.</w:t>
      </w:r>
    </w:p>
    <w:p w14:paraId="301A6096" w14:textId="77777777" w:rsidR="005006A0" w:rsidRPr="002F7B62" w:rsidRDefault="005006A0" w:rsidP="005006A0">
      <w:pPr>
        <w:autoSpaceDE w:val="0"/>
        <w:autoSpaceDN w:val="0"/>
        <w:adjustRightInd w:val="0"/>
        <w:ind w:left="567"/>
        <w:rPr>
          <w:rFonts w:ascii="Times New Roman" w:hAnsi="Times New Roman"/>
          <w:b/>
        </w:rPr>
      </w:pPr>
    </w:p>
    <w:p w14:paraId="7EF82F3C" w14:textId="77777777" w:rsidR="005006A0" w:rsidRPr="002F7B62" w:rsidRDefault="005006A0" w:rsidP="00E6428C">
      <w:pPr>
        <w:rPr>
          <w:rFonts w:ascii="Times New Roman" w:hAnsi="Times New Roman"/>
          <w:b/>
          <w:i/>
        </w:rPr>
      </w:pPr>
      <w:r w:rsidRPr="002F7B62">
        <w:rPr>
          <w:rFonts w:ascii="Times New Roman" w:hAnsi="Times New Roman"/>
          <w:b/>
          <w:i/>
        </w:rPr>
        <w:t>Risultati di apprendimento attesi.</w:t>
      </w:r>
    </w:p>
    <w:p w14:paraId="1238FB59" w14:textId="77777777" w:rsidR="005006A0" w:rsidRPr="002F7B62" w:rsidRDefault="005006A0" w:rsidP="00E6428C">
      <w:pPr>
        <w:rPr>
          <w:rFonts w:ascii="Times New Roman" w:hAnsi="Times New Roman"/>
        </w:rPr>
      </w:pPr>
      <w:r w:rsidRPr="002F7B62">
        <w:rPr>
          <w:rFonts w:ascii="Times New Roman" w:hAnsi="Times New Roman"/>
        </w:rPr>
        <w:t>Al termine dell'insegnamento, lo studente sarà in grado di individuare ed analizzare i principali indicatori (</w:t>
      </w:r>
      <w:proofErr w:type="spellStart"/>
      <w:r w:rsidRPr="002F7B62">
        <w:rPr>
          <w:rFonts w:ascii="Times New Roman" w:hAnsi="Times New Roman"/>
        </w:rPr>
        <w:t>alert</w:t>
      </w:r>
      <w:proofErr w:type="spellEnd"/>
      <w:r w:rsidRPr="002F7B62">
        <w:rPr>
          <w:rFonts w:ascii="Times New Roman" w:hAnsi="Times New Roman"/>
        </w:rPr>
        <w:t xml:space="preserve">) di una potenziale crisi analizzandone ed </w:t>
      </w:r>
      <w:r w:rsidR="00547FE9" w:rsidRPr="002F7B62">
        <w:rPr>
          <w:rFonts w:ascii="Times New Roman" w:hAnsi="Times New Roman"/>
        </w:rPr>
        <w:t>indentificandone</w:t>
      </w:r>
      <w:r w:rsidRPr="002F7B62">
        <w:rPr>
          <w:rFonts w:ascii="Times New Roman" w:hAnsi="Times New Roman"/>
        </w:rPr>
        <w:t xml:space="preserve"> le principali cause e di comprendere la necessità di avviare o meno procedure di allerta e segnalazioni specifiche conseguenti. Sarà altresì in grado di formulare la corretta costruzione di un Piano di risanamento distinguendo tra Piano attestato, Piano relativo ad accordi di ristrutturazione e Piano concordatario sia esso di natura liquidatoria sia in continuità e di comprendere il processo sottostante l’attestazione di un Piano sia con riferimento alla veridicità dei dati sia con</w:t>
      </w:r>
      <w:r w:rsidR="00E6428C" w:rsidRPr="002F7B62">
        <w:rPr>
          <w:rFonts w:ascii="Times New Roman" w:hAnsi="Times New Roman"/>
        </w:rPr>
        <w:t xml:space="preserve"> </w:t>
      </w:r>
      <w:r w:rsidRPr="002F7B62">
        <w:rPr>
          <w:rFonts w:ascii="Times New Roman" w:hAnsi="Times New Roman"/>
        </w:rPr>
        <w:t>riferimento alla ragionevolezza delle assunzioni sottostanti</w:t>
      </w:r>
      <w:r w:rsidR="00E6428C" w:rsidRPr="002F7B62">
        <w:rPr>
          <w:rFonts w:ascii="Times New Roman" w:hAnsi="Times New Roman"/>
        </w:rPr>
        <w:t xml:space="preserve"> ed al giudizio di fattibilità che deve essere rilasciato dall’attestatore.</w:t>
      </w:r>
    </w:p>
    <w:p w14:paraId="2F0F4433" w14:textId="77777777" w:rsidR="005006A0" w:rsidRPr="002F7B62" w:rsidRDefault="005006A0" w:rsidP="005006A0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7B81B36" w14:textId="77777777" w:rsidR="005006A0" w:rsidRPr="002F7B62" w:rsidRDefault="005006A0" w:rsidP="00E6428C">
      <w:pPr>
        <w:spacing w:before="240" w:after="120"/>
        <w:rPr>
          <w:rFonts w:ascii="Times New Roman" w:hAnsi="Times New Roman"/>
          <w:b/>
          <w:i/>
        </w:rPr>
      </w:pPr>
      <w:r w:rsidRPr="002F7B62">
        <w:rPr>
          <w:rFonts w:ascii="Times New Roman" w:hAnsi="Times New Roman"/>
          <w:b/>
          <w:i/>
        </w:rPr>
        <w:t>PROGRAMMA DEL CORSO</w:t>
      </w:r>
    </w:p>
    <w:p w14:paraId="6CF8D9C8" w14:textId="1AEA5BDD" w:rsidR="006C3AAF" w:rsidRPr="002F7B62" w:rsidRDefault="00E6428C" w:rsidP="006C3AAF">
      <w:pPr>
        <w:spacing w:before="240" w:after="120" w:line="220" w:lineRule="exact"/>
        <w:rPr>
          <w:rFonts w:ascii="Times New Roman" w:hAnsi="Times New Roman"/>
        </w:rPr>
      </w:pPr>
      <w:r w:rsidRPr="002F7B62">
        <w:rPr>
          <w:rFonts w:ascii="Times New Roman" w:hAnsi="Times New Roman"/>
        </w:rPr>
        <w:t xml:space="preserve">La definizione di «Crisi d’Impresa», nel Codice della Crisi e dell’Insolvenza (CCI) </w:t>
      </w:r>
      <w:r w:rsidR="006C3AAF" w:rsidRPr="002F7B62">
        <w:rPr>
          <w:rFonts w:ascii="Times New Roman" w:hAnsi="Times New Roman"/>
        </w:rPr>
        <w:t xml:space="preserve">e il ruolo degli </w:t>
      </w:r>
      <w:r w:rsidRPr="002F7B62">
        <w:rPr>
          <w:rFonts w:ascii="Times New Roman" w:hAnsi="Times New Roman"/>
        </w:rPr>
        <w:t>appositi indicatori.</w:t>
      </w:r>
      <w:r w:rsidR="00564AFF">
        <w:rPr>
          <w:rFonts w:ascii="Times New Roman" w:hAnsi="Times New Roman"/>
        </w:rPr>
        <w:t xml:space="preserve"> Raffronti con la normativa attuale.</w:t>
      </w:r>
      <w:r w:rsidRPr="002F7B62">
        <w:rPr>
          <w:rFonts w:ascii="Times New Roman" w:hAnsi="Times New Roman"/>
        </w:rPr>
        <w:t xml:space="preserve"> </w:t>
      </w:r>
    </w:p>
    <w:p w14:paraId="21C7AE8A" w14:textId="77777777" w:rsidR="006C3AAF" w:rsidRPr="002F7B62" w:rsidRDefault="00E6428C" w:rsidP="006C3AAF">
      <w:pPr>
        <w:spacing w:before="240" w:after="120" w:line="220" w:lineRule="exact"/>
        <w:rPr>
          <w:rFonts w:ascii="Times New Roman" w:hAnsi="Times New Roman"/>
        </w:rPr>
      </w:pPr>
      <w:r w:rsidRPr="002F7B62">
        <w:rPr>
          <w:rFonts w:ascii="Times New Roman" w:hAnsi="Times New Roman"/>
          <w:u w:val="single"/>
        </w:rPr>
        <w:t>Scelta tra gli stru</w:t>
      </w:r>
      <w:r w:rsidR="006C3AAF" w:rsidRPr="002F7B62">
        <w:rPr>
          <w:rFonts w:ascii="Times New Roman" w:hAnsi="Times New Roman"/>
          <w:u w:val="single"/>
        </w:rPr>
        <w:t>menti di regolazione della Crisi</w:t>
      </w:r>
      <w:r w:rsidR="006C3AAF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Diagnosi previsione e tempestiva e</w:t>
      </w:r>
      <w:r w:rsidR="006C3AAF" w:rsidRPr="002F7B62">
        <w:rPr>
          <w:rFonts w:ascii="Times New Roman" w:hAnsi="Times New Roman"/>
        </w:rPr>
        <w:t xml:space="preserve">mersione: strumenti diagnostici. </w:t>
      </w:r>
      <w:r w:rsidRPr="002F7B62">
        <w:rPr>
          <w:rFonts w:ascii="Times New Roman" w:hAnsi="Times New Roman"/>
        </w:rPr>
        <w:t>La sussistenza delle condizioni per il risanamento</w:t>
      </w:r>
      <w:r w:rsidR="006C3AAF" w:rsidRPr="002F7B62">
        <w:rPr>
          <w:rFonts w:ascii="Times New Roman" w:hAnsi="Times New Roman"/>
        </w:rPr>
        <w:t xml:space="preserve"> </w:t>
      </w:r>
      <w:r w:rsidRPr="002F7B62">
        <w:rPr>
          <w:rFonts w:ascii="Times New Roman" w:hAnsi="Times New Roman"/>
        </w:rPr>
        <w:lastRenderedPageBreak/>
        <w:t>La scelta fra gli strumenti di regolazione della crisi</w:t>
      </w:r>
      <w:r w:rsidR="006C3AAF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Piani attestati, accordi di ristrutturazione e concordato preventivo: le modifiche e le innovazioni</w:t>
      </w:r>
      <w:r w:rsidR="006C3AAF" w:rsidRPr="002F7B62">
        <w:rPr>
          <w:rFonts w:ascii="Times New Roman" w:hAnsi="Times New Roman"/>
        </w:rPr>
        <w:t>.</w:t>
      </w:r>
      <w:r w:rsidRPr="002F7B62">
        <w:rPr>
          <w:rFonts w:ascii="Times New Roman" w:hAnsi="Times New Roman"/>
        </w:rPr>
        <w:t xml:space="preserve"> Gli assetti organizzativi idonei alla prevenzione e gli strumenti attuali per l’emersione anticipata della crisi</w:t>
      </w:r>
      <w:r w:rsidR="006C3AAF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 xml:space="preserve">Le procedure di prevenzione, allerta e composizione della crisi: i </w:t>
      </w:r>
      <w:r w:rsidR="006C3AAF" w:rsidRPr="002F7B62">
        <w:rPr>
          <w:rFonts w:ascii="Times New Roman" w:hAnsi="Times New Roman"/>
        </w:rPr>
        <w:t xml:space="preserve">rapporti con le altre procedure. </w:t>
      </w:r>
      <w:r w:rsidRPr="002F7B62">
        <w:rPr>
          <w:rFonts w:ascii="Times New Roman" w:hAnsi="Times New Roman"/>
        </w:rPr>
        <w:t>I soggetti obbligati e le misure premiali</w:t>
      </w:r>
      <w:r w:rsidR="006C3AAF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Doveri e responsabilità degli organi sociali</w:t>
      </w:r>
      <w:r w:rsidR="006C3AAF" w:rsidRPr="002F7B62">
        <w:rPr>
          <w:rFonts w:ascii="Times New Roman" w:hAnsi="Times New Roman"/>
        </w:rPr>
        <w:t xml:space="preserve">. </w:t>
      </w:r>
    </w:p>
    <w:p w14:paraId="047FB8BB" w14:textId="2BD2F06C" w:rsidR="00E6428C" w:rsidRPr="002F7B62" w:rsidRDefault="00E6428C" w:rsidP="000558DE">
      <w:pPr>
        <w:spacing w:before="240" w:after="120" w:line="220" w:lineRule="exact"/>
        <w:rPr>
          <w:rFonts w:ascii="Times New Roman" w:hAnsi="Times New Roman"/>
        </w:rPr>
      </w:pPr>
      <w:r w:rsidRPr="002F7B62">
        <w:rPr>
          <w:rFonts w:ascii="Times New Roman" w:hAnsi="Times New Roman"/>
          <w:u w:val="single"/>
        </w:rPr>
        <w:t>Gli attori nella gestione della crisi</w:t>
      </w:r>
      <w:r w:rsidRPr="002F7B62">
        <w:rPr>
          <w:rFonts w:ascii="Times New Roman" w:hAnsi="Times New Roman"/>
        </w:rPr>
        <w:t xml:space="preserve"> I professionisti incaricati della stesura del piano di risanamento: gli Advisor (industriale e/o finanziario)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L’Advisor legale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L’Attestatore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Gli altri ruoli</w:t>
      </w:r>
      <w:r w:rsidR="00564AFF">
        <w:rPr>
          <w:rFonts w:ascii="Times New Roman" w:hAnsi="Times New Roman"/>
        </w:rPr>
        <w:t>.</w:t>
      </w:r>
    </w:p>
    <w:p w14:paraId="32DE942F" w14:textId="74511FF7" w:rsidR="000558DE" w:rsidRPr="002F7B62" w:rsidRDefault="00E6428C" w:rsidP="000558DE">
      <w:pPr>
        <w:spacing w:before="240" w:after="120" w:line="220" w:lineRule="exact"/>
        <w:rPr>
          <w:rFonts w:ascii="Times New Roman" w:hAnsi="Times New Roman"/>
        </w:rPr>
      </w:pPr>
      <w:r w:rsidRPr="002F7B62">
        <w:rPr>
          <w:rFonts w:ascii="Times New Roman" w:hAnsi="Times New Roman"/>
          <w:u w:val="single"/>
        </w:rPr>
        <w:t>Piani e accordi, strumenti per sostenere la prosecuzione dell’attività dell’impresa: caratteri generali</w:t>
      </w:r>
      <w:r w:rsidRPr="002F7B62">
        <w:rPr>
          <w:rFonts w:ascii="Times New Roman" w:hAnsi="Times New Roman"/>
        </w:rPr>
        <w:t>.</w:t>
      </w:r>
      <w:r w:rsidR="000558DE" w:rsidRPr="002F7B62">
        <w:rPr>
          <w:rFonts w:ascii="Times New Roman" w:hAnsi="Times New Roman"/>
        </w:rPr>
        <w:t xml:space="preserve"> </w:t>
      </w:r>
      <w:r w:rsidRPr="002F7B62">
        <w:rPr>
          <w:rFonts w:ascii="Times New Roman" w:hAnsi="Times New Roman"/>
        </w:rPr>
        <w:t>I piani attestati di risanamento nel nuovo Codice della crisi</w:t>
      </w:r>
      <w:r w:rsidR="000558DE" w:rsidRPr="002F7B62">
        <w:rPr>
          <w:rFonts w:ascii="Times New Roman" w:hAnsi="Times New Roman"/>
        </w:rPr>
        <w:t xml:space="preserve"> </w:t>
      </w:r>
      <w:r w:rsidRPr="002F7B62">
        <w:rPr>
          <w:rFonts w:ascii="Times New Roman" w:hAnsi="Times New Roman"/>
        </w:rPr>
        <w:t>Il “nuovo” piano di risanamento: presupposti, forma e contenuto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La disciplina degli accordi di ristrutturazione dei debiti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Gli accordi di ristrutturazione agevolati e a efficacia estesa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La nuova transazione fiscale e contributiva</w:t>
      </w:r>
      <w:r w:rsidR="000558DE" w:rsidRPr="002F7B62">
        <w:rPr>
          <w:rFonts w:ascii="Times New Roman" w:hAnsi="Times New Roman"/>
        </w:rPr>
        <w:t xml:space="preserve">. </w:t>
      </w:r>
      <w:r w:rsidR="00564AFF">
        <w:rPr>
          <w:rFonts w:ascii="Times New Roman" w:hAnsi="Times New Roman"/>
        </w:rPr>
        <w:t xml:space="preserve">Relazioni e differenze con la normativa attuale. </w:t>
      </w:r>
      <w:r w:rsidRPr="002F7B62">
        <w:rPr>
          <w:rFonts w:ascii="Times New Roman" w:hAnsi="Times New Roman"/>
        </w:rPr>
        <w:t>Casi pratici</w:t>
      </w:r>
      <w:r w:rsidR="000558DE" w:rsidRPr="002F7B62">
        <w:rPr>
          <w:rFonts w:ascii="Times New Roman" w:hAnsi="Times New Roman"/>
        </w:rPr>
        <w:t xml:space="preserve">. </w:t>
      </w:r>
    </w:p>
    <w:p w14:paraId="1FE79609" w14:textId="77777777" w:rsidR="000558DE" w:rsidRPr="002F7B62" w:rsidRDefault="00E6428C" w:rsidP="000558DE">
      <w:pPr>
        <w:spacing w:before="240" w:after="120" w:line="220" w:lineRule="exact"/>
        <w:rPr>
          <w:rFonts w:ascii="Times New Roman" w:hAnsi="Times New Roman"/>
        </w:rPr>
      </w:pPr>
      <w:r w:rsidRPr="002F7B62">
        <w:rPr>
          <w:rFonts w:ascii="Times New Roman" w:hAnsi="Times New Roman"/>
          <w:u w:val="single"/>
        </w:rPr>
        <w:t>Principi di redazione del Piano di Risanamento: aspetti di carattere generale</w:t>
      </w:r>
      <w:r w:rsidR="000558DE" w:rsidRPr="002F7B62">
        <w:rPr>
          <w:rFonts w:ascii="Times New Roman" w:hAnsi="Times New Roman"/>
          <w:u w:val="single"/>
        </w:rPr>
        <w:t>.</w:t>
      </w:r>
      <w:r w:rsidR="000558DE" w:rsidRPr="002F7B62">
        <w:rPr>
          <w:rFonts w:ascii="Times New Roman" w:hAnsi="Times New Roman"/>
        </w:rPr>
        <w:t xml:space="preserve"> </w:t>
      </w:r>
      <w:r w:rsidRPr="002F7B62">
        <w:rPr>
          <w:rFonts w:ascii="Times New Roman" w:hAnsi="Times New Roman"/>
        </w:rPr>
        <w:t>Il ruolo centrale del piano industriale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Piano di risanamen</w:t>
      </w:r>
      <w:r w:rsidR="000558DE" w:rsidRPr="002F7B62">
        <w:rPr>
          <w:rFonts w:ascii="Times New Roman" w:hAnsi="Times New Roman"/>
        </w:rPr>
        <w:t xml:space="preserve">to, i principi per la redazione. </w:t>
      </w:r>
      <w:r w:rsidRPr="002F7B62">
        <w:rPr>
          <w:rFonts w:ascii="Times New Roman" w:hAnsi="Times New Roman"/>
        </w:rPr>
        <w:t>Gli aspetti fina</w:t>
      </w:r>
      <w:r w:rsidR="000558DE" w:rsidRPr="002F7B62">
        <w:rPr>
          <w:rFonts w:ascii="Times New Roman" w:hAnsi="Times New Roman"/>
        </w:rPr>
        <w:t xml:space="preserve">nziari del piano di risanamento. </w:t>
      </w:r>
      <w:r w:rsidRPr="002F7B62">
        <w:rPr>
          <w:rFonts w:ascii="Times New Roman" w:hAnsi="Times New Roman"/>
        </w:rPr>
        <w:t>La fiscalità dei piani attestati e de</w:t>
      </w:r>
      <w:r w:rsidR="000558DE" w:rsidRPr="002F7B62">
        <w:rPr>
          <w:rFonts w:ascii="Times New Roman" w:hAnsi="Times New Roman"/>
        </w:rPr>
        <w:t xml:space="preserve">gli accordi di ristrutturazione. </w:t>
      </w:r>
      <w:r w:rsidRPr="002F7B62">
        <w:rPr>
          <w:rFonts w:ascii="Times New Roman" w:hAnsi="Times New Roman"/>
        </w:rPr>
        <w:t>La fattibilità dei piani: analisi di sensitività e stress test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Casi pratici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  <w:u w:val="single"/>
        </w:rPr>
        <w:t>Principi di redazione del Piano di Risanamento: aspetti specifici</w:t>
      </w:r>
      <w:r w:rsidR="000558DE" w:rsidRPr="002F7B62">
        <w:rPr>
          <w:rFonts w:ascii="Times New Roman" w:hAnsi="Times New Roman"/>
          <w:u w:val="single"/>
        </w:rPr>
        <w:t>.</w:t>
      </w:r>
      <w:r w:rsidR="000558DE" w:rsidRPr="002F7B62">
        <w:rPr>
          <w:rFonts w:ascii="Times New Roman" w:hAnsi="Times New Roman"/>
        </w:rPr>
        <w:t xml:space="preserve"> </w:t>
      </w:r>
      <w:r w:rsidRPr="002F7B62">
        <w:rPr>
          <w:rFonts w:ascii="Times New Roman" w:hAnsi="Times New Roman"/>
        </w:rPr>
        <w:t>Obiettivi del piano di risanamento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Il procedimento di elaborazione del Piano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La descrizione della situazione di partenza e delle ragioni della crisi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La strategia generale di risanamento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L’impatto specifico del risanamento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La manovra finanziaria, l’arco temporale e le azioni previste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Il Piano economico-finanziario e patrimoniale e le analisi di sensitività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Esecuzione e monitoraggio del piano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Casi pratici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  <w:u w:val="single"/>
        </w:rPr>
        <w:t>Principi di attestazione dei Piano di Risanamento: aspetti generali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I prerequisiti: qualifiche, indipendenza, autonomia, capacità professionale ed organizzativa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 xml:space="preserve">L’incarico: contenuto minimo, engagement </w:t>
      </w:r>
      <w:proofErr w:type="spellStart"/>
      <w:r w:rsidRPr="002F7B62">
        <w:rPr>
          <w:rFonts w:ascii="Times New Roman" w:hAnsi="Times New Roman"/>
        </w:rPr>
        <w:t>letter</w:t>
      </w:r>
      <w:proofErr w:type="spellEnd"/>
      <w:r w:rsidRPr="002F7B62">
        <w:rPr>
          <w:rFonts w:ascii="Times New Roman" w:hAnsi="Times New Roman"/>
        </w:rPr>
        <w:t xml:space="preserve">, valutazione della prestazione, la responsabilità </w:t>
      </w:r>
      <w:r w:rsidR="000558DE" w:rsidRPr="002F7B62">
        <w:rPr>
          <w:rFonts w:ascii="Times New Roman" w:hAnsi="Times New Roman"/>
        </w:rPr>
        <w:t xml:space="preserve">dell’attestatore. </w:t>
      </w:r>
      <w:r w:rsidRPr="002F7B62">
        <w:rPr>
          <w:rFonts w:ascii="Times New Roman" w:hAnsi="Times New Roman"/>
        </w:rPr>
        <w:t>I Principi di attestazione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Il ruolo e l’attività di attestazione nella valutazione dei piani di risanamento.</w:t>
      </w:r>
      <w:r w:rsidR="000558DE" w:rsidRPr="002F7B62">
        <w:rPr>
          <w:rFonts w:ascii="Times New Roman" w:hAnsi="Times New Roman"/>
        </w:rPr>
        <w:t xml:space="preserve"> </w:t>
      </w:r>
      <w:r w:rsidRPr="002F7B62">
        <w:rPr>
          <w:rFonts w:ascii="Times New Roman" w:hAnsi="Times New Roman"/>
        </w:rPr>
        <w:t>Casi pratici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  <w:u w:val="single"/>
        </w:rPr>
        <w:t>Principi di attestazione dei Piano di</w:t>
      </w:r>
      <w:r w:rsidR="000558DE" w:rsidRPr="002F7B62">
        <w:rPr>
          <w:rFonts w:ascii="Times New Roman" w:hAnsi="Times New Roman"/>
          <w:u w:val="single"/>
        </w:rPr>
        <w:t xml:space="preserve"> Risanamento: aspetti specifici</w:t>
      </w:r>
      <w:r w:rsidR="000558DE" w:rsidRPr="002F7B62">
        <w:rPr>
          <w:rFonts w:ascii="Times New Roman" w:hAnsi="Times New Roman"/>
        </w:rPr>
        <w:t>. L</w:t>
      </w:r>
      <w:r w:rsidRPr="002F7B62">
        <w:rPr>
          <w:rFonts w:ascii="Times New Roman" w:hAnsi="Times New Roman"/>
        </w:rPr>
        <w:t>a struttura della relazione</w:t>
      </w:r>
      <w:r w:rsidR="000558DE" w:rsidRPr="002F7B62">
        <w:rPr>
          <w:rFonts w:ascii="Times New Roman" w:hAnsi="Times New Roman"/>
        </w:rPr>
        <w:t>. L</w:t>
      </w:r>
      <w:r w:rsidRPr="002F7B62">
        <w:rPr>
          <w:rFonts w:ascii="Times New Roman" w:hAnsi="Times New Roman"/>
        </w:rPr>
        <w:t>a veridicità dei dati contabili e di quelli aziendali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Le attività di verifica della fattibilità</w:t>
      </w:r>
      <w:r w:rsidR="000558DE" w:rsidRPr="002F7B62">
        <w:rPr>
          <w:rFonts w:ascii="Times New Roman" w:hAnsi="Times New Roman"/>
        </w:rPr>
        <w:t>. L</w:t>
      </w:r>
      <w:r w:rsidRPr="002F7B62">
        <w:rPr>
          <w:rFonts w:ascii="Times New Roman" w:hAnsi="Times New Roman"/>
        </w:rPr>
        <w:t xml:space="preserve">e verifiche da seguire, la </w:t>
      </w:r>
      <w:proofErr w:type="spellStart"/>
      <w:r w:rsidRPr="002F7B62">
        <w:rPr>
          <w:rFonts w:ascii="Times New Roman" w:hAnsi="Times New Roman"/>
        </w:rPr>
        <w:t>reliance</w:t>
      </w:r>
      <w:proofErr w:type="spellEnd"/>
      <w:r w:rsidRPr="002F7B62">
        <w:rPr>
          <w:rFonts w:ascii="Times New Roman" w:hAnsi="Times New Roman"/>
        </w:rPr>
        <w:t xml:space="preserve"> a verifiche condotte da terzi</w:t>
      </w:r>
      <w:r w:rsidR="000558DE" w:rsidRPr="002F7B62">
        <w:rPr>
          <w:rFonts w:ascii="Times New Roman" w:hAnsi="Times New Roman"/>
        </w:rPr>
        <w:t xml:space="preserve">. </w:t>
      </w:r>
      <w:proofErr w:type="spellStart"/>
      <w:r w:rsidRPr="002F7B62">
        <w:rPr>
          <w:rFonts w:ascii="Times New Roman" w:hAnsi="Times New Roman"/>
        </w:rPr>
        <w:t>l</w:t>
      </w:r>
      <w:r w:rsidR="000558DE" w:rsidRPr="002F7B62">
        <w:rPr>
          <w:rFonts w:ascii="Times New Roman" w:hAnsi="Times New Roman"/>
        </w:rPr>
        <w:t>L</w:t>
      </w:r>
      <w:r w:rsidRPr="002F7B62">
        <w:rPr>
          <w:rFonts w:ascii="Times New Roman" w:hAnsi="Times New Roman"/>
        </w:rPr>
        <w:t>e</w:t>
      </w:r>
      <w:proofErr w:type="spellEnd"/>
      <w:r w:rsidRPr="002F7B62">
        <w:rPr>
          <w:rFonts w:ascii="Times New Roman" w:hAnsi="Times New Roman"/>
        </w:rPr>
        <w:t xml:space="preserve"> </w:t>
      </w:r>
      <w:proofErr w:type="spellStart"/>
      <w:r w:rsidRPr="002F7B62">
        <w:rPr>
          <w:rFonts w:ascii="Times New Roman" w:hAnsi="Times New Roman"/>
        </w:rPr>
        <w:t>check</w:t>
      </w:r>
      <w:proofErr w:type="spellEnd"/>
      <w:r w:rsidRPr="002F7B62">
        <w:rPr>
          <w:rFonts w:ascii="Times New Roman" w:hAnsi="Times New Roman"/>
        </w:rPr>
        <w:t xml:space="preserve"> list e l’interazione con gli altri professionisti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Casi pratici</w:t>
      </w:r>
      <w:r w:rsidR="000558DE" w:rsidRPr="002F7B62">
        <w:rPr>
          <w:rFonts w:ascii="Times New Roman" w:hAnsi="Times New Roman"/>
        </w:rPr>
        <w:t xml:space="preserve">. </w:t>
      </w:r>
    </w:p>
    <w:p w14:paraId="3731A270" w14:textId="4A8225E6" w:rsidR="00E5232D" w:rsidRDefault="00E6428C" w:rsidP="000558DE">
      <w:pPr>
        <w:spacing w:before="240" w:after="120" w:line="220" w:lineRule="exact"/>
        <w:rPr>
          <w:rFonts w:ascii="Times New Roman" w:hAnsi="Times New Roman"/>
          <w:u w:val="single"/>
        </w:rPr>
      </w:pPr>
      <w:r w:rsidRPr="002F7B62">
        <w:rPr>
          <w:rFonts w:ascii="Times New Roman" w:hAnsi="Times New Roman"/>
          <w:u w:val="single"/>
        </w:rPr>
        <w:t>Le diverse opportunità per la gestione ed il superamento della Crisi</w:t>
      </w:r>
      <w:r w:rsidR="00E5232D">
        <w:rPr>
          <w:rFonts w:ascii="Times New Roman" w:hAnsi="Times New Roman"/>
          <w:u w:val="single"/>
        </w:rPr>
        <w:t>, caratteri specifici:</w:t>
      </w:r>
      <w:r w:rsidRPr="002F7B62">
        <w:rPr>
          <w:rFonts w:ascii="Times New Roman" w:hAnsi="Times New Roman"/>
          <w:u w:val="single"/>
        </w:rPr>
        <w:t xml:space="preserve"> </w:t>
      </w:r>
    </w:p>
    <w:p w14:paraId="28F182C1" w14:textId="49ABDCA9" w:rsidR="00E5232D" w:rsidRPr="006579C9" w:rsidRDefault="00E5232D" w:rsidP="000558DE">
      <w:pPr>
        <w:pStyle w:val="Paragrafoelenco"/>
        <w:numPr>
          <w:ilvl w:val="0"/>
          <w:numId w:val="2"/>
        </w:numPr>
        <w:spacing w:before="240" w:after="120" w:line="220" w:lineRule="exact"/>
        <w:rPr>
          <w:rFonts w:ascii="Times New Roman" w:hAnsi="Times New Roman"/>
          <w:sz w:val="20"/>
        </w:rPr>
      </w:pPr>
      <w:r w:rsidRPr="006579C9">
        <w:rPr>
          <w:rFonts w:ascii="Times New Roman" w:hAnsi="Times New Roman"/>
          <w:sz w:val="20"/>
          <w:u w:val="single"/>
        </w:rPr>
        <w:t>i</w:t>
      </w:r>
      <w:r w:rsidR="00E6428C" w:rsidRPr="006579C9">
        <w:rPr>
          <w:rFonts w:ascii="Times New Roman" w:hAnsi="Times New Roman"/>
          <w:sz w:val="20"/>
          <w:u w:val="single"/>
        </w:rPr>
        <w:t>l Piano attestato di Risanamento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La componente qualitativa del Piano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La componente quantitativa del Piano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 xml:space="preserve">Aspetti procedurali inerenti la </w:t>
      </w:r>
      <w:r w:rsidR="00E6428C" w:rsidRPr="006579C9">
        <w:rPr>
          <w:rFonts w:ascii="Times New Roman" w:hAnsi="Times New Roman"/>
          <w:sz w:val="20"/>
        </w:rPr>
        <w:lastRenderedPageBreak/>
        <w:t>negoziazione con i creditori l’approvazione del Piano, la sua attestazione e la modifica del piano successiva all’attestazione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Gli aspetti fiscali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Casi pratici</w:t>
      </w:r>
      <w:r w:rsidR="000558DE" w:rsidRPr="006579C9">
        <w:rPr>
          <w:rFonts w:ascii="Times New Roman" w:hAnsi="Times New Roman"/>
          <w:sz w:val="20"/>
        </w:rPr>
        <w:t xml:space="preserve">. </w:t>
      </w:r>
    </w:p>
    <w:p w14:paraId="1AF05F70" w14:textId="77777777" w:rsidR="00E5232D" w:rsidRPr="006579C9" w:rsidRDefault="00E5232D" w:rsidP="006579C9">
      <w:pPr>
        <w:pStyle w:val="Paragrafoelenco"/>
        <w:spacing w:before="240" w:after="120" w:line="220" w:lineRule="exact"/>
        <w:rPr>
          <w:rFonts w:ascii="Times New Roman" w:hAnsi="Times New Roman"/>
          <w:sz w:val="20"/>
        </w:rPr>
      </w:pPr>
    </w:p>
    <w:p w14:paraId="5175A6AC" w14:textId="22F1B4A4" w:rsidR="00E5232D" w:rsidRPr="006579C9" w:rsidRDefault="00E5232D" w:rsidP="006579C9">
      <w:pPr>
        <w:pStyle w:val="Paragrafoelenco"/>
        <w:numPr>
          <w:ilvl w:val="0"/>
          <w:numId w:val="2"/>
        </w:numPr>
        <w:spacing w:before="240" w:after="120" w:line="220" w:lineRule="exact"/>
        <w:jc w:val="both"/>
        <w:rPr>
          <w:rFonts w:ascii="Times New Roman" w:hAnsi="Times New Roman"/>
        </w:rPr>
      </w:pPr>
      <w:r w:rsidRPr="006579C9">
        <w:rPr>
          <w:rFonts w:ascii="Times New Roman" w:hAnsi="Times New Roman"/>
          <w:sz w:val="20"/>
          <w:u w:val="single"/>
        </w:rPr>
        <w:t>g</w:t>
      </w:r>
      <w:r w:rsidR="00E6428C" w:rsidRPr="006579C9">
        <w:rPr>
          <w:rFonts w:ascii="Times New Roman" w:hAnsi="Times New Roman"/>
          <w:sz w:val="20"/>
          <w:u w:val="single"/>
        </w:rPr>
        <w:t>li accordi di ristrutturazione del debito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Inquadramento e finalità dell’accordo di ristrutturazione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Costruzione delle proposte, contenuto minimo e formalità da osservare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Conduzione delle trattative con i creditori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Il sos</w:t>
      </w:r>
      <w:r w:rsidR="000558DE" w:rsidRPr="006579C9">
        <w:rPr>
          <w:rFonts w:ascii="Times New Roman" w:hAnsi="Times New Roman"/>
          <w:sz w:val="20"/>
        </w:rPr>
        <w:t xml:space="preserve">tegno alla continuità aziendale. </w:t>
      </w:r>
      <w:r w:rsidR="00E6428C" w:rsidRPr="006579C9">
        <w:rPr>
          <w:rFonts w:ascii="Times New Roman" w:hAnsi="Times New Roman"/>
          <w:sz w:val="20"/>
        </w:rPr>
        <w:t xml:space="preserve">Gli accordi ad </w:t>
      </w:r>
      <w:proofErr w:type="spellStart"/>
      <w:r w:rsidR="00E6428C" w:rsidRPr="006579C9">
        <w:rPr>
          <w:rFonts w:ascii="Times New Roman" w:hAnsi="Times New Roman"/>
          <w:sz w:val="20"/>
        </w:rPr>
        <w:t>efficiacia</w:t>
      </w:r>
      <w:proofErr w:type="spellEnd"/>
      <w:r w:rsidR="00E6428C" w:rsidRPr="006579C9">
        <w:rPr>
          <w:rFonts w:ascii="Times New Roman" w:hAnsi="Times New Roman"/>
          <w:sz w:val="20"/>
        </w:rPr>
        <w:t xml:space="preserve"> estesa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L’attestatore, ruolo e funzione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Verifica dei risultati raggiunti e casi di successione di piani e accordi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La modifica dell’accordo e/o del piano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Gli aspetti fiscali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Casi pratici</w:t>
      </w:r>
      <w:r w:rsidR="000558DE" w:rsidRPr="006579C9">
        <w:rPr>
          <w:rFonts w:ascii="Times New Roman" w:hAnsi="Times New Roman"/>
          <w:sz w:val="20"/>
        </w:rPr>
        <w:t xml:space="preserve">. </w:t>
      </w:r>
    </w:p>
    <w:p w14:paraId="2C879D35" w14:textId="77777777" w:rsidR="00E5232D" w:rsidRPr="006579C9" w:rsidRDefault="00E5232D" w:rsidP="006579C9">
      <w:pPr>
        <w:pStyle w:val="Paragrafoelenco"/>
        <w:spacing w:before="240" w:after="120" w:line="220" w:lineRule="exact"/>
        <w:jc w:val="both"/>
        <w:rPr>
          <w:rFonts w:ascii="Times New Roman" w:hAnsi="Times New Roman"/>
          <w:sz w:val="20"/>
        </w:rPr>
      </w:pPr>
    </w:p>
    <w:p w14:paraId="75B2B226" w14:textId="17170480" w:rsidR="00E6428C" w:rsidRPr="006579C9" w:rsidRDefault="00E5232D" w:rsidP="006579C9">
      <w:pPr>
        <w:pStyle w:val="Paragrafoelenco"/>
        <w:numPr>
          <w:ilvl w:val="0"/>
          <w:numId w:val="2"/>
        </w:numPr>
        <w:spacing w:before="240" w:after="120" w:line="220" w:lineRule="exact"/>
        <w:jc w:val="both"/>
        <w:rPr>
          <w:rFonts w:ascii="Times New Roman" w:hAnsi="Times New Roman"/>
        </w:rPr>
      </w:pPr>
      <w:r w:rsidRPr="006579C9">
        <w:rPr>
          <w:rFonts w:ascii="Times New Roman" w:hAnsi="Times New Roman"/>
          <w:sz w:val="20"/>
          <w:u w:val="single"/>
        </w:rPr>
        <w:t>i</w:t>
      </w:r>
      <w:r w:rsidR="00E6428C" w:rsidRPr="006579C9">
        <w:rPr>
          <w:rFonts w:ascii="Times New Roman" w:hAnsi="Times New Roman"/>
          <w:sz w:val="20"/>
          <w:u w:val="single"/>
        </w:rPr>
        <w:t>l concordato preventivo e quello fallimentare</w:t>
      </w:r>
      <w:r w:rsidR="00402A8B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  <w:u w:val="single"/>
        </w:rPr>
        <w:t>Il concordato preventivo</w:t>
      </w:r>
      <w:r w:rsidR="00402A8B" w:rsidRPr="006579C9">
        <w:rPr>
          <w:rFonts w:ascii="Times New Roman" w:hAnsi="Times New Roman"/>
          <w:sz w:val="20"/>
        </w:rPr>
        <w:t>.</w:t>
      </w:r>
      <w:r w:rsidR="00E6428C" w:rsidRPr="006579C9">
        <w:rPr>
          <w:rFonts w:ascii="Times New Roman" w:hAnsi="Times New Roman"/>
          <w:sz w:val="20"/>
        </w:rPr>
        <w:t xml:space="preserve"> Le modifiche alla disciplina del concordato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L’attestatore, ruolo e funzione, veridicità e attestazione dei dati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Il giudizio di fattibilità del piano liquidatorio ed in continuità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Le attestazioni specifiche: finanziamenti prededucibili, pagamenti a fornitori strategici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Il contenuto del piano e della proposta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Liquidazione e continuità aziendale; continuità diretta e indiretta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I rapporti con le procedure di allerta</w:t>
      </w:r>
      <w:r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La “nuova finanza” nel concordato in continuità</w:t>
      </w:r>
      <w:r w:rsidR="00402A8B" w:rsidRPr="006579C9">
        <w:rPr>
          <w:rFonts w:ascii="Times New Roman" w:hAnsi="Times New Roman"/>
          <w:sz w:val="20"/>
        </w:rPr>
        <w:t xml:space="preserve">. </w:t>
      </w:r>
      <w:r w:rsidR="00E92A64" w:rsidRPr="006579C9">
        <w:rPr>
          <w:rFonts w:ascii="Times New Roman" w:hAnsi="Times New Roman"/>
          <w:sz w:val="20"/>
        </w:rPr>
        <w:t>La transazione fiscale ed il “</w:t>
      </w:r>
      <w:proofErr w:type="spellStart"/>
      <w:r w:rsidR="00E92A64" w:rsidRPr="006579C9">
        <w:rPr>
          <w:rFonts w:ascii="Times New Roman" w:hAnsi="Times New Roman"/>
          <w:sz w:val="20"/>
        </w:rPr>
        <w:t>cram</w:t>
      </w:r>
      <w:proofErr w:type="spellEnd"/>
      <w:r w:rsidR="00E92A64" w:rsidRPr="006579C9">
        <w:rPr>
          <w:rFonts w:ascii="Times New Roman" w:hAnsi="Times New Roman"/>
          <w:sz w:val="20"/>
        </w:rPr>
        <w:t xml:space="preserve"> </w:t>
      </w:r>
      <w:proofErr w:type="spellStart"/>
      <w:r w:rsidR="00E92A64" w:rsidRPr="006579C9">
        <w:rPr>
          <w:rFonts w:ascii="Times New Roman" w:hAnsi="Times New Roman"/>
          <w:sz w:val="20"/>
        </w:rPr>
        <w:t>down</w:t>
      </w:r>
      <w:proofErr w:type="gramStart"/>
      <w:r w:rsidR="00E92A64" w:rsidRPr="006579C9">
        <w:rPr>
          <w:rFonts w:ascii="Times New Roman" w:hAnsi="Times New Roman"/>
          <w:sz w:val="20"/>
        </w:rPr>
        <w:t>”.</w:t>
      </w:r>
      <w:r w:rsidR="00E6428C" w:rsidRPr="006579C9">
        <w:rPr>
          <w:rFonts w:ascii="Times New Roman" w:hAnsi="Times New Roman"/>
          <w:sz w:val="20"/>
        </w:rPr>
        <w:t>Le</w:t>
      </w:r>
      <w:proofErr w:type="spellEnd"/>
      <w:proofErr w:type="gramEnd"/>
      <w:r w:rsidR="00E6428C" w:rsidRPr="006579C9">
        <w:rPr>
          <w:rFonts w:ascii="Times New Roman" w:hAnsi="Times New Roman"/>
          <w:sz w:val="20"/>
        </w:rPr>
        <w:t xml:space="preserve"> novità nella fase esecutiva e nella tutela dei creditori post-omologa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Il trattamento dei crediti privilegiati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La transazione fiscale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La falcidia dei creditori privilegiati</w:t>
      </w:r>
      <w:r w:rsidR="000558DE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La formazione delle classi ed il controllo giudiziale</w:t>
      </w:r>
      <w:r w:rsidR="000558DE" w:rsidRPr="006579C9">
        <w:rPr>
          <w:rFonts w:ascii="Times New Roman" w:hAnsi="Times New Roman"/>
          <w:sz w:val="20"/>
        </w:rPr>
        <w:t xml:space="preserve">. Proposte ed offerte concorrenti. </w:t>
      </w:r>
      <w:r w:rsidR="00E6428C" w:rsidRPr="006579C9">
        <w:rPr>
          <w:rFonts w:ascii="Times New Roman" w:hAnsi="Times New Roman"/>
          <w:sz w:val="20"/>
        </w:rPr>
        <w:t>Casi pratici</w:t>
      </w:r>
      <w:r w:rsidR="00402A8B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  <w:u w:val="single"/>
        </w:rPr>
        <w:t>Il concordato fallimentare</w:t>
      </w:r>
      <w:r w:rsidR="00402A8B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I limiti ed i presupposti</w:t>
      </w:r>
      <w:r w:rsidR="00402A8B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La proposta ed il giudizio di ammissibilità</w:t>
      </w:r>
      <w:r w:rsidR="00402A8B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I pareri del Curatore</w:t>
      </w:r>
      <w:r w:rsidR="00402A8B" w:rsidRPr="006579C9">
        <w:rPr>
          <w:rFonts w:ascii="Times New Roman" w:hAnsi="Times New Roman"/>
          <w:sz w:val="20"/>
        </w:rPr>
        <w:t xml:space="preserve"> e del Comitato dei creditori. Proposte concorrenti. </w:t>
      </w:r>
      <w:r w:rsidR="00E6428C" w:rsidRPr="006579C9">
        <w:rPr>
          <w:rFonts w:ascii="Times New Roman" w:hAnsi="Times New Roman"/>
          <w:sz w:val="20"/>
        </w:rPr>
        <w:t>La votazione e l’omologazione</w:t>
      </w:r>
      <w:r w:rsidR="00402A8B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L’esecuzione</w:t>
      </w:r>
      <w:r w:rsidR="00402A8B" w:rsidRPr="006579C9">
        <w:rPr>
          <w:rFonts w:ascii="Times New Roman" w:hAnsi="Times New Roman"/>
          <w:sz w:val="20"/>
        </w:rPr>
        <w:t xml:space="preserve">. </w:t>
      </w:r>
      <w:r w:rsidR="00E6428C" w:rsidRPr="006579C9">
        <w:rPr>
          <w:rFonts w:ascii="Times New Roman" w:hAnsi="Times New Roman"/>
          <w:sz w:val="20"/>
        </w:rPr>
        <w:t>Casi pratici</w:t>
      </w:r>
    </w:p>
    <w:p w14:paraId="63696512" w14:textId="0BD65260" w:rsidR="00E6428C" w:rsidRPr="00B90637" w:rsidRDefault="00E6428C" w:rsidP="00402A8B">
      <w:pPr>
        <w:spacing w:before="240" w:after="120"/>
        <w:rPr>
          <w:rFonts w:ascii="Times New Roman" w:hAnsi="Times New Roman"/>
          <w:b/>
          <w:i/>
        </w:rPr>
      </w:pPr>
      <w:r w:rsidRPr="00B90637">
        <w:rPr>
          <w:rFonts w:ascii="Times New Roman" w:hAnsi="Times New Roman"/>
          <w:b/>
          <w:i/>
        </w:rPr>
        <w:t>BIBLIOGRAFIA</w:t>
      </w:r>
      <w:r w:rsidR="00D862A5">
        <w:rPr>
          <w:rStyle w:val="Rimandonotaapidipagina"/>
          <w:rFonts w:ascii="Times New Roman" w:hAnsi="Times New Roman"/>
          <w:b/>
          <w:i/>
        </w:rPr>
        <w:footnoteReference w:id="1"/>
      </w:r>
    </w:p>
    <w:p w14:paraId="5D575AC0" w14:textId="77777777" w:rsidR="002F7B62" w:rsidRPr="00B90637" w:rsidRDefault="002F7B62" w:rsidP="002F7B62">
      <w:pPr>
        <w:rPr>
          <w:rFonts w:ascii="Times New Roman" w:eastAsia="Calibri" w:hAnsi="Times New Roman"/>
          <w:lang w:eastAsia="en-US"/>
        </w:rPr>
      </w:pPr>
      <w:r w:rsidRPr="00B90637">
        <w:rPr>
          <w:rFonts w:ascii="Times New Roman" w:eastAsia="Calibri" w:hAnsi="Times New Roman"/>
          <w:lang w:eastAsia="en-US"/>
        </w:rPr>
        <w:t>La bibliografia di riferimento del corso verrà messa a disposizione in corrispondenza dell’inizio delle lezioni.</w:t>
      </w:r>
    </w:p>
    <w:p w14:paraId="7B415136" w14:textId="77777777" w:rsidR="00E6428C" w:rsidRPr="00B90637" w:rsidRDefault="00E6428C" w:rsidP="00402A8B">
      <w:pPr>
        <w:spacing w:before="240" w:after="120"/>
        <w:rPr>
          <w:rFonts w:ascii="Times New Roman" w:hAnsi="Times New Roman"/>
          <w:b/>
          <w:i/>
        </w:rPr>
      </w:pPr>
      <w:r w:rsidRPr="00B90637">
        <w:rPr>
          <w:rFonts w:ascii="Times New Roman" w:hAnsi="Times New Roman"/>
          <w:b/>
          <w:i/>
        </w:rPr>
        <w:t>DIDATTICA DEL CORSO</w:t>
      </w:r>
    </w:p>
    <w:p w14:paraId="13D5802D" w14:textId="77777777" w:rsidR="00E6428C" w:rsidRPr="006579C9" w:rsidRDefault="00E6428C" w:rsidP="00402A8B">
      <w:pPr>
        <w:pStyle w:val="NormaleWeb"/>
        <w:jc w:val="both"/>
        <w:rPr>
          <w:sz w:val="20"/>
          <w:szCs w:val="20"/>
        </w:rPr>
      </w:pPr>
      <w:r w:rsidRPr="006579C9">
        <w:rPr>
          <w:sz w:val="20"/>
          <w:szCs w:val="20"/>
        </w:rPr>
        <w:t xml:space="preserve">Il corso si sviluppa attraverso lezioni frontali relative agli aspetti della disciplina rilevanti ed indispensabili per il raggiungimento degli obiettivi formativi specifici dell'insegnamento e globali del corso di studio. La didattica frontale è supportata da esercitazioni ed esperienze di taglio pratico. </w:t>
      </w:r>
    </w:p>
    <w:p w14:paraId="00A3060F" w14:textId="77777777" w:rsidR="00E6428C" w:rsidRPr="00B90637" w:rsidRDefault="00E6428C" w:rsidP="00402A8B">
      <w:pPr>
        <w:pStyle w:val="NormaleWeb"/>
        <w:jc w:val="both"/>
        <w:rPr>
          <w:sz w:val="20"/>
          <w:szCs w:val="20"/>
        </w:rPr>
      </w:pPr>
      <w:r w:rsidRPr="006579C9">
        <w:rPr>
          <w:sz w:val="20"/>
          <w:szCs w:val="20"/>
        </w:rPr>
        <w:lastRenderedPageBreak/>
        <w:t xml:space="preserve">Nel corso delle lezioni sono utilizzati vari strumenti per il miglioramento della didattica quali, ad es., presentazioni in </w:t>
      </w:r>
      <w:proofErr w:type="spellStart"/>
      <w:r w:rsidRPr="006579C9">
        <w:rPr>
          <w:sz w:val="20"/>
          <w:szCs w:val="20"/>
        </w:rPr>
        <w:t>power</w:t>
      </w:r>
      <w:proofErr w:type="spellEnd"/>
      <w:r w:rsidRPr="006579C9">
        <w:rPr>
          <w:sz w:val="20"/>
          <w:szCs w:val="20"/>
        </w:rPr>
        <w:t xml:space="preserve"> </w:t>
      </w:r>
      <w:proofErr w:type="spellStart"/>
      <w:r w:rsidRPr="006579C9">
        <w:rPr>
          <w:sz w:val="20"/>
          <w:szCs w:val="20"/>
        </w:rPr>
        <w:t>point</w:t>
      </w:r>
      <w:proofErr w:type="spellEnd"/>
      <w:r w:rsidRPr="006579C9">
        <w:rPr>
          <w:sz w:val="20"/>
          <w:szCs w:val="20"/>
        </w:rPr>
        <w:t xml:space="preserve"> proiettate in aula, schemi, indicazioni bibliografiche e quant'altro rite</w:t>
      </w:r>
      <w:r w:rsidR="00402A8B" w:rsidRPr="006579C9">
        <w:rPr>
          <w:sz w:val="20"/>
          <w:szCs w:val="20"/>
        </w:rPr>
        <w:t xml:space="preserve">nuto utile per il miglioramento </w:t>
      </w:r>
      <w:r w:rsidRPr="006579C9">
        <w:rPr>
          <w:sz w:val="20"/>
          <w:szCs w:val="20"/>
        </w:rPr>
        <w:t>dell'efficacia della didattica.</w:t>
      </w:r>
    </w:p>
    <w:p w14:paraId="092C1A69" w14:textId="77777777" w:rsidR="00E6428C" w:rsidRPr="00B90637" w:rsidRDefault="00E6428C" w:rsidP="00402A8B">
      <w:pPr>
        <w:spacing w:before="240" w:after="120"/>
        <w:rPr>
          <w:rFonts w:ascii="Times New Roman" w:hAnsi="Times New Roman"/>
          <w:b/>
          <w:i/>
        </w:rPr>
      </w:pPr>
      <w:r w:rsidRPr="00B90637">
        <w:rPr>
          <w:rFonts w:ascii="Times New Roman" w:hAnsi="Times New Roman"/>
          <w:b/>
          <w:i/>
        </w:rPr>
        <w:t>METODO E CRITERI DI VALUTAZIONE</w:t>
      </w:r>
    </w:p>
    <w:p w14:paraId="7BFDE105" w14:textId="4B9DB037" w:rsidR="00E6428C" w:rsidRPr="002F7B62" w:rsidRDefault="00E6428C" w:rsidP="00402A8B">
      <w:pPr>
        <w:pStyle w:val="NormaleWeb"/>
        <w:jc w:val="both"/>
        <w:rPr>
          <w:sz w:val="20"/>
          <w:szCs w:val="20"/>
        </w:rPr>
      </w:pPr>
      <w:r w:rsidRPr="00B90637">
        <w:rPr>
          <w:sz w:val="20"/>
          <w:szCs w:val="20"/>
        </w:rPr>
        <w:t>L'esame si svolge in forma scritta strutturato come segue:</w:t>
      </w:r>
      <w:r w:rsidR="00402A8B" w:rsidRPr="00B90637">
        <w:rPr>
          <w:sz w:val="20"/>
          <w:szCs w:val="20"/>
        </w:rPr>
        <w:t xml:space="preserve"> - </w:t>
      </w:r>
      <w:r w:rsidR="00CE55DE" w:rsidRPr="00B90637">
        <w:rPr>
          <w:sz w:val="20"/>
          <w:szCs w:val="20"/>
        </w:rPr>
        <w:t>3</w:t>
      </w:r>
      <w:r w:rsidRPr="00B90637">
        <w:rPr>
          <w:sz w:val="20"/>
          <w:szCs w:val="20"/>
        </w:rPr>
        <w:t xml:space="preserve"> domande aperte, di uguale peso, valutate con punteggio da 0 (mancata risposta) a 6 (rispos</w:t>
      </w:r>
      <w:r w:rsidR="00402A8B" w:rsidRPr="00B90637">
        <w:rPr>
          <w:sz w:val="20"/>
          <w:szCs w:val="20"/>
        </w:rPr>
        <w:t>ta piena ed ineccepibile)</w:t>
      </w:r>
      <w:r w:rsidR="00CE55DE" w:rsidRPr="00B90637">
        <w:rPr>
          <w:sz w:val="20"/>
          <w:szCs w:val="20"/>
        </w:rPr>
        <w:t xml:space="preserve"> che pesano ¾ del voto </w:t>
      </w:r>
      <w:proofErr w:type="gramStart"/>
      <w:r w:rsidR="00CE55DE" w:rsidRPr="00B90637">
        <w:rPr>
          <w:sz w:val="20"/>
          <w:szCs w:val="20"/>
        </w:rPr>
        <w:t xml:space="preserve">complessivo </w:t>
      </w:r>
      <w:r w:rsidR="00402A8B" w:rsidRPr="00B90637">
        <w:rPr>
          <w:sz w:val="20"/>
          <w:szCs w:val="20"/>
        </w:rPr>
        <w:t xml:space="preserve"> -</w:t>
      </w:r>
      <w:proofErr w:type="gramEnd"/>
      <w:r w:rsidR="00402A8B" w:rsidRPr="00B90637">
        <w:rPr>
          <w:sz w:val="20"/>
          <w:szCs w:val="20"/>
        </w:rPr>
        <w:t xml:space="preserve"> </w:t>
      </w:r>
      <w:r w:rsidRPr="00B90637">
        <w:rPr>
          <w:sz w:val="20"/>
          <w:szCs w:val="20"/>
        </w:rPr>
        <w:t>5 domande chiuse, di eguale</w:t>
      </w:r>
      <w:r w:rsidRPr="002F7B62">
        <w:rPr>
          <w:sz w:val="20"/>
          <w:szCs w:val="20"/>
        </w:rPr>
        <w:t xml:space="preserve"> peso, valutate con punteggio da 0 (mancata risposta o errata risposta) a 1 (risposta corretta) </w:t>
      </w:r>
      <w:r w:rsidR="00CE55DE">
        <w:rPr>
          <w:sz w:val="20"/>
          <w:szCs w:val="20"/>
        </w:rPr>
        <w:t>che pesano complessivamente ¼.</w:t>
      </w:r>
    </w:p>
    <w:p w14:paraId="55AE6EF8" w14:textId="77777777" w:rsidR="00E6428C" w:rsidRPr="002F7B62" w:rsidRDefault="00E6428C" w:rsidP="00402A8B">
      <w:pPr>
        <w:spacing w:before="240" w:after="120"/>
        <w:rPr>
          <w:rFonts w:ascii="Times New Roman" w:hAnsi="Times New Roman"/>
          <w:b/>
          <w:i/>
        </w:rPr>
      </w:pPr>
      <w:r w:rsidRPr="002F7B62">
        <w:rPr>
          <w:rFonts w:ascii="Times New Roman" w:hAnsi="Times New Roman"/>
          <w:b/>
          <w:i/>
        </w:rPr>
        <w:t>AVVERTENZE E PREREQUISITI</w:t>
      </w:r>
    </w:p>
    <w:p w14:paraId="35D1BF49" w14:textId="29C43E06" w:rsidR="00A14AE8" w:rsidRPr="006579C9" w:rsidRDefault="002F7B62" w:rsidP="00A14AE8">
      <w:pPr>
        <w:pStyle w:val="NormaleWeb"/>
        <w:jc w:val="both"/>
        <w:rPr>
          <w:sz w:val="20"/>
          <w:szCs w:val="20"/>
        </w:rPr>
      </w:pPr>
      <w:r w:rsidRPr="002F7B62">
        <w:rPr>
          <w:sz w:val="20"/>
          <w:szCs w:val="20"/>
        </w:rPr>
        <w:t>L</w:t>
      </w:r>
      <w:r w:rsidR="00E6428C" w:rsidRPr="002F7B62">
        <w:rPr>
          <w:sz w:val="20"/>
          <w:szCs w:val="20"/>
        </w:rPr>
        <w:t>o studente dovrà possedere conoscenze di base in materia di analisi di bilancio e di finanza aziendale. Costituiscono altresì utili conoscenze, per alcuni aspetti dei temi trattati, le nozioni base di diritto societario e di diritto tributario.</w:t>
      </w:r>
      <w:r w:rsidR="00CE55DE">
        <w:rPr>
          <w:sz w:val="20"/>
          <w:szCs w:val="20"/>
        </w:rPr>
        <w:t xml:space="preserve"> </w:t>
      </w:r>
      <w:r w:rsidR="00A14AE8">
        <w:rPr>
          <w:sz w:val="20"/>
          <w:szCs w:val="20"/>
        </w:rPr>
        <w:t>L</w:t>
      </w:r>
      <w:r w:rsidR="00CE55DE">
        <w:rPr>
          <w:sz w:val="20"/>
          <w:szCs w:val="20"/>
        </w:rPr>
        <w:t xml:space="preserve">o studente dovrà </w:t>
      </w:r>
      <w:proofErr w:type="spellStart"/>
      <w:r w:rsidR="00A14AE8">
        <w:rPr>
          <w:sz w:val="20"/>
          <w:szCs w:val="20"/>
        </w:rPr>
        <w:t>altrsì</w:t>
      </w:r>
      <w:proofErr w:type="spellEnd"/>
      <w:r w:rsidR="00A14AE8">
        <w:rPr>
          <w:sz w:val="20"/>
          <w:szCs w:val="20"/>
        </w:rPr>
        <w:t xml:space="preserve"> </w:t>
      </w:r>
      <w:r w:rsidR="00CE55DE">
        <w:rPr>
          <w:sz w:val="20"/>
          <w:szCs w:val="20"/>
        </w:rPr>
        <w:t xml:space="preserve">possedere adeguata formazione di natura giuridica sia con riferimento alla attuale normativa di riferimento per la gestione della crisi (Legge Fallimentare) </w:t>
      </w:r>
      <w:r w:rsidR="00CE55DE" w:rsidRPr="00A14AE8">
        <w:rPr>
          <w:sz w:val="20"/>
          <w:szCs w:val="20"/>
        </w:rPr>
        <w:t>sia con riferimento al nuovo Codice della crisi d’Impresa e dell’Insolvenza (d.lgs. n. 14/2019) in relazione alla prossima completa adozione dello stesso</w:t>
      </w:r>
      <w:r w:rsidR="00A14AE8" w:rsidRPr="00A14AE8">
        <w:rPr>
          <w:sz w:val="20"/>
          <w:szCs w:val="20"/>
        </w:rPr>
        <w:t xml:space="preserve">, </w:t>
      </w:r>
      <w:r w:rsidR="00A14AE8" w:rsidRPr="006579C9">
        <w:rPr>
          <w:sz w:val="20"/>
          <w:szCs w:val="20"/>
        </w:rPr>
        <w:t>preferibilmente acquisita tramite la frequenza a un corso universitario in materia di diritto della crisi d’impresa”</w:t>
      </w:r>
      <w:r w:rsidR="00A14AE8">
        <w:rPr>
          <w:sz w:val="20"/>
          <w:szCs w:val="20"/>
        </w:rPr>
        <w:t>.</w:t>
      </w:r>
    </w:p>
    <w:p w14:paraId="4A0DCD32" w14:textId="77777777" w:rsidR="00FA539F" w:rsidRPr="002F7B62" w:rsidRDefault="00FA539F" w:rsidP="00FA539F">
      <w:pPr>
        <w:spacing w:before="240" w:after="120" w:line="220" w:lineRule="exact"/>
        <w:rPr>
          <w:rFonts w:ascii="Times New Roman" w:eastAsia="MS Mincho" w:hAnsi="Times New Roman"/>
          <w:b/>
          <w:i/>
        </w:rPr>
      </w:pPr>
      <w:bookmarkStart w:id="0" w:name="_GoBack"/>
      <w:bookmarkEnd w:id="0"/>
      <w:r w:rsidRPr="002F7B62">
        <w:rPr>
          <w:rFonts w:ascii="Times New Roman" w:eastAsia="MS Mincho" w:hAnsi="Times New Roman"/>
          <w:b/>
          <w:i/>
        </w:rPr>
        <w:t>ORARIO E LUOGO DI RICEVIMENTO DEGLI STUDENTI</w:t>
      </w:r>
    </w:p>
    <w:p w14:paraId="0E85C95D" w14:textId="77777777" w:rsidR="00FA539F" w:rsidRPr="002F7B62" w:rsidRDefault="00FA539F" w:rsidP="00FA539F">
      <w:pPr>
        <w:tabs>
          <w:tab w:val="clear" w:pos="284"/>
        </w:tabs>
        <w:spacing w:line="220" w:lineRule="exact"/>
        <w:rPr>
          <w:rFonts w:ascii="Times New Roman" w:hAnsi="Times New Roman"/>
          <w:noProof/>
        </w:rPr>
      </w:pPr>
      <w:r w:rsidRPr="002F7B62">
        <w:rPr>
          <w:rFonts w:ascii="Times New Roman" w:hAnsi="Times New Roman"/>
          <w:noProof/>
        </w:rPr>
        <w:t>Gli orari di ricevimento sono disponibili on line nella pagina personale del docente, consultabile al sito http://docenti.unicatt.it/</w:t>
      </w:r>
    </w:p>
    <w:p w14:paraId="3D8AB23A" w14:textId="77777777" w:rsidR="005006A0" w:rsidRPr="002F7B62" w:rsidRDefault="005006A0" w:rsidP="00E6428C">
      <w:pPr>
        <w:autoSpaceDE w:val="0"/>
        <w:autoSpaceDN w:val="0"/>
        <w:adjustRightInd w:val="0"/>
        <w:ind w:left="567"/>
        <w:rPr>
          <w:rFonts w:ascii="Times New Roman" w:hAnsi="Times New Roman"/>
          <w:u w:val="single"/>
        </w:rPr>
      </w:pPr>
    </w:p>
    <w:sectPr w:rsidR="005006A0" w:rsidRPr="002F7B62" w:rsidSect="0050652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A2576" w14:textId="77777777" w:rsidR="00ED248C" w:rsidRDefault="00ED248C" w:rsidP="005C0B34">
      <w:pPr>
        <w:spacing w:line="240" w:lineRule="auto"/>
      </w:pPr>
      <w:r>
        <w:separator/>
      </w:r>
    </w:p>
  </w:endnote>
  <w:endnote w:type="continuationSeparator" w:id="0">
    <w:p w14:paraId="5CA953B0" w14:textId="77777777" w:rsidR="00ED248C" w:rsidRDefault="00ED248C" w:rsidP="005C0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021BC" w14:textId="77777777" w:rsidR="00ED248C" w:rsidRDefault="00ED248C" w:rsidP="005C0B34">
      <w:pPr>
        <w:spacing w:line="240" w:lineRule="auto"/>
      </w:pPr>
      <w:r>
        <w:separator/>
      </w:r>
    </w:p>
  </w:footnote>
  <w:footnote w:type="continuationSeparator" w:id="0">
    <w:p w14:paraId="0E46A5D7" w14:textId="77777777" w:rsidR="00ED248C" w:rsidRDefault="00ED248C" w:rsidP="005C0B34">
      <w:pPr>
        <w:spacing w:line="240" w:lineRule="auto"/>
      </w:pPr>
      <w:r>
        <w:continuationSeparator/>
      </w:r>
    </w:p>
  </w:footnote>
  <w:footnote w:id="1">
    <w:p w14:paraId="3822E8AB" w14:textId="2245622E" w:rsidR="00D862A5" w:rsidRDefault="00D862A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2979"/>
    <w:multiLevelType w:val="hybridMultilevel"/>
    <w:tmpl w:val="17C43FE8"/>
    <w:lvl w:ilvl="0" w:tplc="593E0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B2831"/>
    <w:multiLevelType w:val="hybridMultilevel"/>
    <w:tmpl w:val="54EA2D42"/>
    <w:lvl w:ilvl="0" w:tplc="E8D4AAB4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B8"/>
    <w:rsid w:val="000027B8"/>
    <w:rsid w:val="00045AAB"/>
    <w:rsid w:val="000558DE"/>
    <w:rsid w:val="00091461"/>
    <w:rsid w:val="000A288C"/>
    <w:rsid w:val="000F1435"/>
    <w:rsid w:val="000F66E6"/>
    <w:rsid w:val="001155BA"/>
    <w:rsid w:val="001444EA"/>
    <w:rsid w:val="001512BA"/>
    <w:rsid w:val="001538DA"/>
    <w:rsid w:val="0015784C"/>
    <w:rsid w:val="001815B0"/>
    <w:rsid w:val="00182DE3"/>
    <w:rsid w:val="00192ACC"/>
    <w:rsid w:val="00193823"/>
    <w:rsid w:val="001A52DA"/>
    <w:rsid w:val="001E513F"/>
    <w:rsid w:val="001F306D"/>
    <w:rsid w:val="00206772"/>
    <w:rsid w:val="00233CE0"/>
    <w:rsid w:val="0023531D"/>
    <w:rsid w:val="00262804"/>
    <w:rsid w:val="00274709"/>
    <w:rsid w:val="002874FE"/>
    <w:rsid w:val="002A2B18"/>
    <w:rsid w:val="002A2FEB"/>
    <w:rsid w:val="002D3EBF"/>
    <w:rsid w:val="002E67D4"/>
    <w:rsid w:val="002F7B62"/>
    <w:rsid w:val="0033549A"/>
    <w:rsid w:val="00350CA2"/>
    <w:rsid w:val="00364F41"/>
    <w:rsid w:val="0038058A"/>
    <w:rsid w:val="00383DAC"/>
    <w:rsid w:val="00385E9F"/>
    <w:rsid w:val="003E6878"/>
    <w:rsid w:val="00402A8B"/>
    <w:rsid w:val="0041193F"/>
    <w:rsid w:val="0046734E"/>
    <w:rsid w:val="004675F7"/>
    <w:rsid w:val="00491B27"/>
    <w:rsid w:val="004C1BAB"/>
    <w:rsid w:val="004C4FBB"/>
    <w:rsid w:val="005006A0"/>
    <w:rsid w:val="00506529"/>
    <w:rsid w:val="005116B8"/>
    <w:rsid w:val="005179B6"/>
    <w:rsid w:val="00524F43"/>
    <w:rsid w:val="00544B7C"/>
    <w:rsid w:val="00547FE9"/>
    <w:rsid w:val="00564AFF"/>
    <w:rsid w:val="005C0B34"/>
    <w:rsid w:val="005C0D59"/>
    <w:rsid w:val="005D0AEC"/>
    <w:rsid w:val="006118F9"/>
    <w:rsid w:val="00652DD0"/>
    <w:rsid w:val="00656460"/>
    <w:rsid w:val="006579C9"/>
    <w:rsid w:val="00661869"/>
    <w:rsid w:val="00680070"/>
    <w:rsid w:val="00684C66"/>
    <w:rsid w:val="00684FBB"/>
    <w:rsid w:val="006C3AAF"/>
    <w:rsid w:val="006C3D87"/>
    <w:rsid w:val="006C6A98"/>
    <w:rsid w:val="006E49EB"/>
    <w:rsid w:val="006F277A"/>
    <w:rsid w:val="00702760"/>
    <w:rsid w:val="0070548F"/>
    <w:rsid w:val="00740EEC"/>
    <w:rsid w:val="00752FC5"/>
    <w:rsid w:val="00763BA8"/>
    <w:rsid w:val="00770184"/>
    <w:rsid w:val="007A26DF"/>
    <w:rsid w:val="007A6A90"/>
    <w:rsid w:val="007B35B9"/>
    <w:rsid w:val="007B3F2B"/>
    <w:rsid w:val="007C6C8E"/>
    <w:rsid w:val="007F6DDE"/>
    <w:rsid w:val="00821A34"/>
    <w:rsid w:val="00857E6C"/>
    <w:rsid w:val="00870063"/>
    <w:rsid w:val="008E6DF9"/>
    <w:rsid w:val="009026CB"/>
    <w:rsid w:val="00911761"/>
    <w:rsid w:val="0094137F"/>
    <w:rsid w:val="00975CE8"/>
    <w:rsid w:val="00983523"/>
    <w:rsid w:val="009A6300"/>
    <w:rsid w:val="009B1956"/>
    <w:rsid w:val="009E5B46"/>
    <w:rsid w:val="00A06911"/>
    <w:rsid w:val="00A14AE8"/>
    <w:rsid w:val="00A177C7"/>
    <w:rsid w:val="00A2329C"/>
    <w:rsid w:val="00A44682"/>
    <w:rsid w:val="00A45D43"/>
    <w:rsid w:val="00A646D4"/>
    <w:rsid w:val="00AA7116"/>
    <w:rsid w:val="00AB5A48"/>
    <w:rsid w:val="00AF7EDC"/>
    <w:rsid w:val="00B27FDB"/>
    <w:rsid w:val="00B40BC5"/>
    <w:rsid w:val="00B44688"/>
    <w:rsid w:val="00B52F68"/>
    <w:rsid w:val="00B61FB2"/>
    <w:rsid w:val="00B64D70"/>
    <w:rsid w:val="00B90637"/>
    <w:rsid w:val="00BD5DC5"/>
    <w:rsid w:val="00BF3A7C"/>
    <w:rsid w:val="00BF6323"/>
    <w:rsid w:val="00C71CAC"/>
    <w:rsid w:val="00C82328"/>
    <w:rsid w:val="00CB0262"/>
    <w:rsid w:val="00CB5494"/>
    <w:rsid w:val="00CC4B87"/>
    <w:rsid w:val="00CE55DE"/>
    <w:rsid w:val="00CF7BEA"/>
    <w:rsid w:val="00D862A5"/>
    <w:rsid w:val="00DC3C3F"/>
    <w:rsid w:val="00DD1DF6"/>
    <w:rsid w:val="00DD21C2"/>
    <w:rsid w:val="00E068B9"/>
    <w:rsid w:val="00E2480F"/>
    <w:rsid w:val="00E25BAC"/>
    <w:rsid w:val="00E27CA6"/>
    <w:rsid w:val="00E311B2"/>
    <w:rsid w:val="00E37FB1"/>
    <w:rsid w:val="00E5232D"/>
    <w:rsid w:val="00E6428C"/>
    <w:rsid w:val="00E92A64"/>
    <w:rsid w:val="00EA1822"/>
    <w:rsid w:val="00ED08D7"/>
    <w:rsid w:val="00ED248C"/>
    <w:rsid w:val="00F435D4"/>
    <w:rsid w:val="00F50A98"/>
    <w:rsid w:val="00F57606"/>
    <w:rsid w:val="00F77A1D"/>
    <w:rsid w:val="00F874AE"/>
    <w:rsid w:val="00FA539F"/>
    <w:rsid w:val="00FF42B7"/>
    <w:rsid w:val="00FF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06D3A"/>
  <w15:docId w15:val="{20411624-6A9D-480C-927A-9821A025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rmale">
    <w:name w:val="Plain Text"/>
    <w:basedOn w:val="Normale"/>
    <w:link w:val="TestonormaleCarattere"/>
    <w:rsid w:val="00E068B9"/>
    <w:pPr>
      <w:tabs>
        <w:tab w:val="clear" w:pos="284"/>
      </w:tabs>
      <w:spacing w:line="240" w:lineRule="auto"/>
      <w:jc w:val="left"/>
    </w:pPr>
    <w:rPr>
      <w:rFonts w:ascii="Courier New" w:hAnsi="Courier New" w:cs="Courier New"/>
    </w:rPr>
  </w:style>
  <w:style w:type="character" w:styleId="Collegamentoipertestuale">
    <w:name w:val="Hyperlink"/>
    <w:rsid w:val="00911761"/>
    <w:rPr>
      <w:color w:val="0000FF"/>
      <w:u w:val="single"/>
    </w:rPr>
  </w:style>
  <w:style w:type="character" w:customStyle="1" w:styleId="TestonormaleCarattere">
    <w:name w:val="Testo normale Carattere"/>
    <w:link w:val="Testonormale"/>
    <w:rsid w:val="0041193F"/>
    <w:rPr>
      <w:rFonts w:ascii="Courier New" w:hAnsi="Courier New" w:cs="Courier New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82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82DE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350CA2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nhideWhenUsed/>
    <w:rsid w:val="005C0B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C0B34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5C0B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C0B34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5006A0"/>
    <w:pPr>
      <w:tabs>
        <w:tab w:val="clear" w:pos="284"/>
      </w:tabs>
      <w:spacing w:line="240" w:lineRule="auto"/>
      <w:ind w:left="720"/>
      <w:contextualSpacing/>
      <w:jc w:val="left"/>
    </w:pPr>
    <w:rPr>
      <w:rFonts w:ascii="Book Antiqua" w:eastAsiaTheme="minorHAnsi" w:hAnsi="Book Antiqua" w:cs="Calibri"/>
      <w:color w:val="000000"/>
      <w:sz w:val="22"/>
      <w:lang w:eastAsia="en-US"/>
    </w:rPr>
  </w:style>
  <w:style w:type="paragraph" w:styleId="NormaleWeb">
    <w:name w:val="Normal (Web)"/>
    <w:basedOn w:val="Normale"/>
    <w:uiPriority w:val="99"/>
    <w:unhideWhenUsed/>
    <w:rsid w:val="005006A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006A0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5006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06A0"/>
    <w:pPr>
      <w:tabs>
        <w:tab w:val="clear" w:pos="284"/>
      </w:tabs>
      <w:spacing w:line="240" w:lineRule="auto"/>
      <w:jc w:val="left"/>
    </w:pPr>
    <w:rPr>
      <w:rFonts w:ascii="Book Antiqua" w:eastAsiaTheme="minorHAnsi" w:hAnsi="Book Antiqua" w:cs="Calibri"/>
      <w:color w:val="00000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06A0"/>
    <w:rPr>
      <w:rFonts w:ascii="Book Antiqua" w:eastAsiaTheme="minorHAnsi" w:hAnsi="Book Antiqua" w:cs="Calibri"/>
      <w:color w:val="000000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862A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862A5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D86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3C6E-16F5-45AE-A74C-11826B0D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3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9090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http://docenti.unicatt.it/ita/claudio_frigeni/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Piccolini Luisella</cp:lastModifiedBy>
  <cp:revision>5</cp:revision>
  <cp:lastPrinted>2014-04-22T09:45:00Z</cp:lastPrinted>
  <dcterms:created xsi:type="dcterms:W3CDTF">2021-07-22T17:46:00Z</dcterms:created>
  <dcterms:modified xsi:type="dcterms:W3CDTF">2022-06-30T12:21:00Z</dcterms:modified>
</cp:coreProperties>
</file>