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6E86C" w14:textId="0915789F" w:rsidR="006D0891" w:rsidRPr="008E151A" w:rsidRDefault="006D0891" w:rsidP="005A684A">
      <w:pPr>
        <w:pStyle w:val="Titolo1"/>
        <w:spacing w:before="0"/>
      </w:pPr>
      <w:r w:rsidRPr="008E151A">
        <w:t>Diritto Penale dell</w:t>
      </w:r>
      <w:r w:rsidR="007126A8" w:rsidRPr="008E151A">
        <w:t>’impresa</w:t>
      </w:r>
      <w:r w:rsidR="00CD4CB1" w:rsidRPr="008E151A">
        <w:t xml:space="preserve"> </w:t>
      </w:r>
      <w:r w:rsidR="00CE575D" w:rsidRPr="008E151A">
        <w:t xml:space="preserve"> </w:t>
      </w:r>
      <w:r w:rsidR="00CE575D" w:rsidRPr="008E151A">
        <w:rPr>
          <w:b w:val="0"/>
        </w:rPr>
        <w:t>(</w:t>
      </w:r>
      <w:r w:rsidR="00CD4CB1" w:rsidRPr="008E151A">
        <w:rPr>
          <w:b w:val="0"/>
        </w:rPr>
        <w:t>5</w:t>
      </w:r>
      <w:r w:rsidR="00CE575D" w:rsidRPr="008E151A">
        <w:rPr>
          <w:b w:val="0"/>
        </w:rPr>
        <w:t xml:space="preserve"> </w:t>
      </w:r>
      <w:r w:rsidR="009E3D5B" w:rsidRPr="008E151A">
        <w:rPr>
          <w:b w:val="0"/>
        </w:rPr>
        <w:t>CFU</w:t>
      </w:r>
      <w:r w:rsidR="00CE575D" w:rsidRPr="008E151A">
        <w:rPr>
          <w:b w:val="0"/>
        </w:rPr>
        <w:t>)</w:t>
      </w:r>
    </w:p>
    <w:p w14:paraId="607F37E5" w14:textId="130B87A0" w:rsidR="006D0891" w:rsidRPr="005A684A" w:rsidRDefault="007D6ECB" w:rsidP="00F13B6D">
      <w:pPr>
        <w:pStyle w:val="Titolo2"/>
        <w:rPr>
          <w:sz w:val="20"/>
        </w:rPr>
      </w:pPr>
      <w:r w:rsidRPr="005A684A">
        <w:rPr>
          <w:sz w:val="20"/>
        </w:rPr>
        <w:t xml:space="preserve">Prof. Francesco Centonze </w:t>
      </w:r>
    </w:p>
    <w:p w14:paraId="3C5EBE72" w14:textId="77777777" w:rsidR="00F13B6D" w:rsidRPr="00F13B6D" w:rsidRDefault="00F13B6D" w:rsidP="00F13B6D">
      <w:pPr>
        <w:pStyle w:val="Titolo3"/>
      </w:pPr>
    </w:p>
    <w:p w14:paraId="00D77344" w14:textId="1613434F" w:rsidR="00F13B6D" w:rsidRPr="008519FE" w:rsidRDefault="007126A8" w:rsidP="00F13B6D">
      <w:pPr>
        <w:rPr>
          <w:b/>
          <w:i/>
          <w:sz w:val="18"/>
          <w:szCs w:val="18"/>
        </w:rPr>
      </w:pPr>
      <w:r w:rsidRPr="00E03AF3">
        <w:rPr>
          <w:b/>
          <w:i/>
          <w:sz w:val="18"/>
          <w:szCs w:val="18"/>
        </w:rPr>
        <w:t>OBIETTIVO DEL CORSO E RISULTAT</w:t>
      </w:r>
      <w:r w:rsidR="00AF6B0E">
        <w:rPr>
          <w:b/>
          <w:i/>
          <w:sz w:val="18"/>
          <w:szCs w:val="18"/>
        </w:rPr>
        <w:t>I</w:t>
      </w:r>
      <w:r w:rsidRPr="00E03AF3">
        <w:rPr>
          <w:b/>
          <w:i/>
          <w:sz w:val="18"/>
          <w:szCs w:val="18"/>
        </w:rPr>
        <w:t xml:space="preserve"> DI APPRENDIMENTO ATTESI</w:t>
      </w:r>
    </w:p>
    <w:p w14:paraId="16744D8C" w14:textId="6B783F31" w:rsidR="000D03C7" w:rsidRPr="00E03AF3" w:rsidRDefault="00645FBB" w:rsidP="00F13B6D">
      <w:pPr>
        <w:ind w:firstLine="284"/>
        <w:rPr>
          <w:sz w:val="18"/>
          <w:szCs w:val="18"/>
        </w:rPr>
      </w:pPr>
      <w:r w:rsidRPr="00E03AF3">
        <w:rPr>
          <w:sz w:val="18"/>
          <w:szCs w:val="18"/>
        </w:rPr>
        <w:t>Il corso si prefigge di illustrare i vari aspetti che caratterizzano il fenomeno della criminalità d’impresa</w:t>
      </w:r>
      <w:r w:rsidR="00795F3D" w:rsidRPr="00E03AF3">
        <w:rPr>
          <w:sz w:val="18"/>
          <w:szCs w:val="18"/>
        </w:rPr>
        <w:t xml:space="preserve"> attraverso un’analisi critica de</w:t>
      </w:r>
      <w:r w:rsidR="000D03C7" w:rsidRPr="00E03AF3">
        <w:rPr>
          <w:sz w:val="18"/>
          <w:szCs w:val="18"/>
        </w:rPr>
        <w:t>i modi con cui la questione criminale viene affrontata dall’ordinamento giuridico</w:t>
      </w:r>
      <w:r w:rsidRPr="00E03AF3">
        <w:rPr>
          <w:sz w:val="18"/>
          <w:szCs w:val="18"/>
        </w:rPr>
        <w:t xml:space="preserve">. </w:t>
      </w:r>
      <w:r w:rsidR="000D03C7" w:rsidRPr="00E03AF3">
        <w:rPr>
          <w:sz w:val="18"/>
          <w:szCs w:val="18"/>
        </w:rPr>
        <w:t>Lo scopo è quello di rendere possibile un approccio consapevole alla problematica penale, corredato dall’apparato teorico di base necessario per l’interpretazione delle singole norme.</w:t>
      </w:r>
    </w:p>
    <w:p w14:paraId="04BF001E" w14:textId="67526DFC" w:rsidR="00E26CD5" w:rsidRPr="00E03AF3" w:rsidRDefault="00E26CD5" w:rsidP="00F13B6D">
      <w:pPr>
        <w:jc w:val="left"/>
        <w:rPr>
          <w:i/>
          <w:sz w:val="18"/>
          <w:szCs w:val="18"/>
        </w:rPr>
      </w:pPr>
      <w:bookmarkStart w:id="0" w:name="_Hlk40684145"/>
      <w:r w:rsidRPr="00E03AF3">
        <w:rPr>
          <w:i/>
          <w:sz w:val="18"/>
          <w:szCs w:val="18"/>
        </w:rPr>
        <w:t>CONOSCENZA E COMPRENSIONE</w:t>
      </w:r>
      <w:bookmarkEnd w:id="0"/>
    </w:p>
    <w:p w14:paraId="6B1C81BE" w14:textId="52EB9F52" w:rsidR="007126A8" w:rsidRPr="00E03AF3" w:rsidRDefault="003D005C" w:rsidP="00F13B6D">
      <w:pPr>
        <w:rPr>
          <w:sz w:val="18"/>
          <w:szCs w:val="18"/>
        </w:rPr>
      </w:pPr>
      <w:r w:rsidRPr="00E03AF3">
        <w:rPr>
          <w:sz w:val="18"/>
          <w:szCs w:val="18"/>
        </w:rPr>
        <w:tab/>
      </w:r>
      <w:r w:rsidR="007126A8" w:rsidRPr="00E03AF3">
        <w:rPr>
          <w:sz w:val="18"/>
          <w:szCs w:val="18"/>
        </w:rPr>
        <w:t xml:space="preserve">Al termine dell’insegnamento, lo studente </w:t>
      </w:r>
      <w:r w:rsidR="00C62A60" w:rsidRPr="00E03AF3">
        <w:rPr>
          <w:sz w:val="18"/>
          <w:szCs w:val="18"/>
        </w:rPr>
        <w:t>avrà acquisito le conoscenze necessarie per comprendere</w:t>
      </w:r>
      <w:r w:rsidR="007126A8" w:rsidRPr="00E03AF3">
        <w:rPr>
          <w:sz w:val="18"/>
          <w:szCs w:val="18"/>
        </w:rPr>
        <w:t>, a partire dall’analisi criminologica, l’importanza e la peculiarità del diritto penale dell’impresa rispetto ad altri settori del diritto penale. In questa chiave, lo studente apprender</w:t>
      </w:r>
      <w:r w:rsidR="00997658" w:rsidRPr="00E03AF3">
        <w:rPr>
          <w:sz w:val="18"/>
          <w:szCs w:val="18"/>
        </w:rPr>
        <w:t>à</w:t>
      </w:r>
      <w:r w:rsidR="007126A8" w:rsidRPr="00E03AF3">
        <w:rPr>
          <w:sz w:val="18"/>
          <w:szCs w:val="18"/>
        </w:rPr>
        <w:t xml:space="preserve"> gli istituti fondamentali che caratterizzano questo settore del diritto penale, quali, innanzitutto, quell</w:t>
      </w:r>
      <w:r w:rsidR="00CE575D" w:rsidRPr="00E03AF3">
        <w:rPr>
          <w:sz w:val="18"/>
          <w:szCs w:val="18"/>
        </w:rPr>
        <w:t>i</w:t>
      </w:r>
      <w:r w:rsidR="007126A8" w:rsidRPr="00E03AF3">
        <w:rPr>
          <w:sz w:val="18"/>
          <w:szCs w:val="18"/>
        </w:rPr>
        <w:t xml:space="preserve"> relativ</w:t>
      </w:r>
      <w:r w:rsidR="00CE575D" w:rsidRPr="00E03AF3">
        <w:rPr>
          <w:sz w:val="18"/>
          <w:szCs w:val="18"/>
        </w:rPr>
        <w:t>i</w:t>
      </w:r>
      <w:r w:rsidR="007126A8" w:rsidRPr="00E03AF3">
        <w:rPr>
          <w:sz w:val="18"/>
          <w:szCs w:val="18"/>
        </w:rPr>
        <w:t xml:space="preserve"> alla responsabilità delle persone giuridiche, all’individuazione dei soggetti responsabili all’interno delle organizzazioni complesse (delega di funzioni) e alla corretta attribuzione della responsabilità penale alla luce dei principi fondamentali della materia (personalità della responsabilità penale e colpevolezza, in particolare). Lo studente, inoltre, acquisirà le nozioni essenziali, anche attraverso il confronto con casi pratici, relativ</w:t>
      </w:r>
      <w:r w:rsidR="0032143F" w:rsidRPr="00E03AF3">
        <w:rPr>
          <w:sz w:val="18"/>
          <w:szCs w:val="18"/>
        </w:rPr>
        <w:t>i</w:t>
      </w:r>
      <w:r w:rsidR="007126A8" w:rsidRPr="00E03AF3">
        <w:rPr>
          <w:sz w:val="18"/>
          <w:szCs w:val="18"/>
        </w:rPr>
        <w:t xml:space="preserve"> ai reati </w:t>
      </w:r>
      <w:r w:rsidR="00372D03">
        <w:rPr>
          <w:sz w:val="18"/>
          <w:szCs w:val="18"/>
        </w:rPr>
        <w:t>tributari</w:t>
      </w:r>
      <w:r w:rsidR="0032143F" w:rsidRPr="00E03AF3">
        <w:rPr>
          <w:sz w:val="18"/>
          <w:szCs w:val="18"/>
        </w:rPr>
        <w:t>.</w:t>
      </w:r>
    </w:p>
    <w:p w14:paraId="3948C7A5" w14:textId="381FCE4C" w:rsidR="00E26CD5" w:rsidRPr="00E03AF3" w:rsidRDefault="00E26CD5" w:rsidP="00F13B6D">
      <w:pPr>
        <w:rPr>
          <w:sz w:val="18"/>
          <w:szCs w:val="18"/>
          <w:highlight w:val="yellow"/>
        </w:rPr>
      </w:pPr>
      <w:bookmarkStart w:id="1" w:name="_Hlk40684165"/>
      <w:r w:rsidRPr="00E03AF3">
        <w:rPr>
          <w:i/>
          <w:sz w:val="18"/>
          <w:szCs w:val="18"/>
        </w:rPr>
        <w:t>CAPACITÀ DI APPLICARE CONOSCENZA E COMPRENSIONE</w:t>
      </w:r>
    </w:p>
    <w:bookmarkEnd w:id="1"/>
    <w:p w14:paraId="7E976EBB" w14:textId="3112C95C" w:rsidR="007126A8" w:rsidRPr="00E03AF3" w:rsidRDefault="003D005C" w:rsidP="00F13B6D">
      <w:pPr>
        <w:rPr>
          <w:sz w:val="18"/>
          <w:szCs w:val="18"/>
        </w:rPr>
      </w:pPr>
      <w:r w:rsidRPr="00E03AF3">
        <w:rPr>
          <w:sz w:val="18"/>
          <w:szCs w:val="18"/>
        </w:rPr>
        <w:tab/>
      </w:r>
      <w:r w:rsidR="007126A8" w:rsidRPr="00E03AF3">
        <w:rPr>
          <w:sz w:val="18"/>
          <w:szCs w:val="18"/>
        </w:rPr>
        <w:t xml:space="preserve">Al termine dell’insegnamento, lo studente </w:t>
      </w:r>
      <w:r w:rsidR="00966839" w:rsidRPr="00E03AF3">
        <w:rPr>
          <w:sz w:val="18"/>
          <w:szCs w:val="18"/>
        </w:rPr>
        <w:t xml:space="preserve">avrà acquisito la capacità di applicare le categorie e gli istituti oggetto di studio a casi concreti. In particolare, lo studente </w:t>
      </w:r>
      <w:r w:rsidR="007126A8" w:rsidRPr="00E03AF3">
        <w:rPr>
          <w:sz w:val="18"/>
          <w:szCs w:val="18"/>
        </w:rPr>
        <w:t>sarà in grado di:</w:t>
      </w:r>
      <w:r w:rsidR="00CE575D" w:rsidRPr="00E03AF3">
        <w:rPr>
          <w:sz w:val="18"/>
          <w:szCs w:val="18"/>
        </w:rPr>
        <w:t xml:space="preserve"> </w:t>
      </w:r>
      <w:r w:rsidR="00355A8D" w:rsidRPr="00E03AF3">
        <w:rPr>
          <w:sz w:val="18"/>
          <w:szCs w:val="18"/>
        </w:rPr>
        <w:t xml:space="preserve">interpretare correttamente la legislazione penale in materia economica; </w:t>
      </w:r>
      <w:r w:rsidR="007126A8" w:rsidRPr="00E03AF3">
        <w:rPr>
          <w:sz w:val="18"/>
          <w:szCs w:val="18"/>
        </w:rPr>
        <w:t>comprendere le questioni fondamentali che stanno alla base dell’utilizzo dello strumento penale nella materia economia;</w:t>
      </w:r>
      <w:r w:rsidR="00CE575D" w:rsidRPr="00E03AF3">
        <w:rPr>
          <w:sz w:val="18"/>
          <w:szCs w:val="18"/>
        </w:rPr>
        <w:t xml:space="preserve"> stabilire </w:t>
      </w:r>
      <w:r w:rsidR="009703BF" w:rsidRPr="00E03AF3">
        <w:rPr>
          <w:sz w:val="18"/>
          <w:szCs w:val="18"/>
        </w:rPr>
        <w:t>il ruolo delle organizzazioni complesse e dell’individuo nella genesi del reato economico;</w:t>
      </w:r>
      <w:r w:rsidR="00CE575D" w:rsidRPr="00E03AF3">
        <w:rPr>
          <w:sz w:val="18"/>
          <w:szCs w:val="18"/>
        </w:rPr>
        <w:t xml:space="preserve"> </w:t>
      </w:r>
      <w:r w:rsidR="007126A8" w:rsidRPr="00E03AF3">
        <w:rPr>
          <w:sz w:val="18"/>
          <w:szCs w:val="18"/>
        </w:rPr>
        <w:t>valutare l’impatto del diritto penale nella gestione delle imprese;</w:t>
      </w:r>
      <w:r w:rsidR="00CE575D" w:rsidRPr="00E03AF3">
        <w:rPr>
          <w:sz w:val="18"/>
          <w:szCs w:val="18"/>
        </w:rPr>
        <w:t xml:space="preserve"> </w:t>
      </w:r>
      <w:r w:rsidR="007126A8" w:rsidRPr="00E03AF3">
        <w:rPr>
          <w:sz w:val="18"/>
          <w:szCs w:val="18"/>
        </w:rPr>
        <w:t>applicare le categorie giuridiche fondamentali del diritto penale (causalità, colpa, dolo) ai reati economici;</w:t>
      </w:r>
      <w:r w:rsidR="00CE575D" w:rsidRPr="00E03AF3">
        <w:rPr>
          <w:sz w:val="18"/>
          <w:szCs w:val="18"/>
        </w:rPr>
        <w:t xml:space="preserve"> </w:t>
      </w:r>
      <w:r w:rsidR="007126A8" w:rsidRPr="00E03AF3">
        <w:rPr>
          <w:sz w:val="18"/>
          <w:szCs w:val="18"/>
        </w:rPr>
        <w:t>affrontare in una prospettiva politico-criminale le questioni più attuali e le scelte del legislatore nella regolazione penalistica dell’economia.</w:t>
      </w:r>
    </w:p>
    <w:p w14:paraId="0FC292CE" w14:textId="640807AA" w:rsidR="00E26CD5" w:rsidRPr="00E03AF3" w:rsidRDefault="00E26CD5" w:rsidP="00F13B6D">
      <w:pPr>
        <w:rPr>
          <w:i/>
          <w:sz w:val="18"/>
          <w:szCs w:val="18"/>
        </w:rPr>
      </w:pPr>
      <w:bookmarkStart w:id="2" w:name="_Hlk40684007"/>
      <w:r w:rsidRPr="00E03AF3">
        <w:rPr>
          <w:i/>
          <w:sz w:val="18"/>
          <w:szCs w:val="18"/>
        </w:rPr>
        <w:t>AUTONOMIA DI GIUDIZIO</w:t>
      </w:r>
    </w:p>
    <w:p w14:paraId="5E2D059A" w14:textId="7700AABF" w:rsidR="007126A8" w:rsidRPr="00E03AF3" w:rsidRDefault="003D005C" w:rsidP="00F13B6D">
      <w:pPr>
        <w:rPr>
          <w:sz w:val="18"/>
          <w:szCs w:val="18"/>
        </w:rPr>
      </w:pPr>
      <w:r w:rsidRPr="00E03AF3">
        <w:rPr>
          <w:sz w:val="18"/>
          <w:szCs w:val="18"/>
        </w:rPr>
        <w:tab/>
      </w:r>
      <w:r w:rsidR="007126A8" w:rsidRPr="00E03AF3">
        <w:rPr>
          <w:sz w:val="18"/>
          <w:szCs w:val="18"/>
        </w:rPr>
        <w:t>Poiché parte delle lezioni è dedicata all’analisi di questioni critiche, non ancora risolte o rilevate dalla giurisprudenza, lo studente svilupp</w:t>
      </w:r>
      <w:r w:rsidR="002D7078" w:rsidRPr="00E03AF3">
        <w:rPr>
          <w:sz w:val="18"/>
          <w:szCs w:val="18"/>
        </w:rPr>
        <w:t>erà</w:t>
      </w:r>
      <w:r w:rsidR="007126A8" w:rsidRPr="00E03AF3">
        <w:rPr>
          <w:sz w:val="18"/>
          <w:szCs w:val="18"/>
        </w:rPr>
        <w:t xml:space="preserve"> in relazione a queste problematiche una propria capacità di giudizio, individuando le soluzioni più rispettose dei principi costituzionali e le prospettive di riforme della materia.</w:t>
      </w:r>
    </w:p>
    <w:p w14:paraId="6849FB1C" w14:textId="3F6E3C9D" w:rsidR="00E26CD5" w:rsidRPr="00E03AF3" w:rsidRDefault="00E26CD5" w:rsidP="00F13B6D">
      <w:pPr>
        <w:rPr>
          <w:i/>
          <w:sz w:val="18"/>
          <w:szCs w:val="18"/>
        </w:rPr>
      </w:pPr>
      <w:bookmarkStart w:id="3" w:name="_Hlk40683986"/>
      <w:bookmarkEnd w:id="2"/>
      <w:r w:rsidRPr="00E03AF3">
        <w:rPr>
          <w:i/>
          <w:sz w:val="18"/>
          <w:szCs w:val="18"/>
        </w:rPr>
        <w:t>ABILITÀ COMUNICATIVE</w:t>
      </w:r>
    </w:p>
    <w:p w14:paraId="36056FF8" w14:textId="3E7E8946" w:rsidR="007126A8" w:rsidRPr="00E03AF3" w:rsidRDefault="003D005C" w:rsidP="00F13B6D">
      <w:pPr>
        <w:rPr>
          <w:sz w:val="18"/>
          <w:szCs w:val="18"/>
        </w:rPr>
      </w:pPr>
      <w:r w:rsidRPr="00E03AF3">
        <w:rPr>
          <w:sz w:val="18"/>
          <w:szCs w:val="18"/>
        </w:rPr>
        <w:tab/>
      </w:r>
      <w:r w:rsidR="007126A8" w:rsidRPr="00E03AF3">
        <w:rPr>
          <w:sz w:val="18"/>
          <w:szCs w:val="18"/>
        </w:rPr>
        <w:t>Parte del corso è dedicata alla discussione in aula di casi giurisprudenziali e al confronto tra gli studenti circa le soluzioni adeguate al caso concreto. Ciò aiute</w:t>
      </w:r>
      <w:r w:rsidR="002D7078" w:rsidRPr="00E03AF3">
        <w:rPr>
          <w:sz w:val="18"/>
          <w:szCs w:val="18"/>
        </w:rPr>
        <w:t>rà</w:t>
      </w:r>
      <w:r w:rsidR="007126A8" w:rsidRPr="00E03AF3">
        <w:rPr>
          <w:sz w:val="18"/>
          <w:szCs w:val="18"/>
        </w:rPr>
        <w:t xml:space="preserve"> lo studente a sviluppare quelle capacità comunicative indispensabili per il giurista.</w:t>
      </w:r>
    </w:p>
    <w:p w14:paraId="6A82B217" w14:textId="47EAE6DA" w:rsidR="00E26CD5" w:rsidRPr="00E03AF3" w:rsidRDefault="00E26CD5" w:rsidP="00F13B6D">
      <w:pPr>
        <w:rPr>
          <w:i/>
          <w:sz w:val="18"/>
          <w:szCs w:val="18"/>
        </w:rPr>
      </w:pPr>
      <w:bookmarkStart w:id="4" w:name="_Hlk40683951"/>
      <w:bookmarkEnd w:id="3"/>
      <w:r w:rsidRPr="00E03AF3">
        <w:rPr>
          <w:i/>
          <w:sz w:val="18"/>
          <w:szCs w:val="18"/>
        </w:rPr>
        <w:lastRenderedPageBreak/>
        <w:t>CAPACITÀ DI APPRENDIMENTO</w:t>
      </w:r>
    </w:p>
    <w:p w14:paraId="042F939A" w14:textId="059CB96B" w:rsidR="007126A8" w:rsidRPr="00E03AF3" w:rsidRDefault="003D005C" w:rsidP="00F13B6D">
      <w:pPr>
        <w:rPr>
          <w:sz w:val="18"/>
          <w:szCs w:val="18"/>
        </w:rPr>
      </w:pPr>
      <w:r w:rsidRPr="00E03AF3">
        <w:rPr>
          <w:sz w:val="18"/>
          <w:szCs w:val="18"/>
        </w:rPr>
        <w:tab/>
      </w:r>
      <w:r w:rsidR="007126A8" w:rsidRPr="00E03AF3">
        <w:rPr>
          <w:sz w:val="18"/>
          <w:szCs w:val="18"/>
        </w:rPr>
        <w:t xml:space="preserve">Concluso il corso, lo studente è chiamato non solo a conoscere l’attuale stato della </w:t>
      </w:r>
      <w:r w:rsidR="009703BF" w:rsidRPr="00E03AF3">
        <w:rPr>
          <w:sz w:val="18"/>
          <w:szCs w:val="18"/>
        </w:rPr>
        <w:t>legislazione penale in materia economica</w:t>
      </w:r>
      <w:r w:rsidR="007126A8" w:rsidRPr="00E03AF3">
        <w:rPr>
          <w:sz w:val="18"/>
          <w:szCs w:val="18"/>
        </w:rPr>
        <w:t xml:space="preserve"> e i suoi punti più controversi, ma anche a utilizzare, in maniera attiva, quanto appreso e applicarlo ai casi concreti. Il corso, quindi, mira a sviluppare il pensiero sintetico e non solo quello di tipo analitico.</w:t>
      </w:r>
    </w:p>
    <w:bookmarkEnd w:id="4"/>
    <w:p w14:paraId="4C9DEFE4" w14:textId="4927EC76" w:rsidR="00E03AF3" w:rsidRDefault="00E03AF3" w:rsidP="00F13B6D">
      <w:pPr>
        <w:rPr>
          <w:sz w:val="18"/>
          <w:szCs w:val="18"/>
        </w:rPr>
      </w:pPr>
    </w:p>
    <w:p w14:paraId="1BA7532B" w14:textId="77777777" w:rsidR="00533BE2" w:rsidRPr="00E03AF3" w:rsidRDefault="00533BE2" w:rsidP="00F13B6D">
      <w:pPr>
        <w:rPr>
          <w:sz w:val="18"/>
          <w:szCs w:val="18"/>
        </w:rPr>
      </w:pPr>
    </w:p>
    <w:p w14:paraId="4918399D" w14:textId="646D966C" w:rsidR="00E03AF3" w:rsidRPr="00E03AF3" w:rsidRDefault="003D005C" w:rsidP="00F13B6D">
      <w:pPr>
        <w:rPr>
          <w:b/>
          <w:i/>
          <w:sz w:val="18"/>
          <w:szCs w:val="18"/>
        </w:rPr>
      </w:pPr>
      <w:r w:rsidRPr="00E03AF3">
        <w:rPr>
          <w:b/>
          <w:i/>
          <w:sz w:val="18"/>
          <w:szCs w:val="18"/>
        </w:rPr>
        <w:t xml:space="preserve">PROGRAMMA DEL CORSO </w:t>
      </w:r>
    </w:p>
    <w:p w14:paraId="711ACF25" w14:textId="344BFF6E" w:rsidR="00501541" w:rsidRPr="00E03AF3" w:rsidRDefault="00501541" w:rsidP="00475E06">
      <w:pPr>
        <w:ind w:firstLine="284"/>
        <w:rPr>
          <w:sz w:val="18"/>
          <w:szCs w:val="18"/>
        </w:rPr>
      </w:pPr>
      <w:r w:rsidRPr="00E03AF3">
        <w:rPr>
          <w:sz w:val="18"/>
          <w:szCs w:val="18"/>
        </w:rPr>
        <w:t>D</w:t>
      </w:r>
      <w:r w:rsidR="003D005C" w:rsidRPr="00E03AF3">
        <w:rPr>
          <w:sz w:val="18"/>
          <w:szCs w:val="18"/>
        </w:rPr>
        <w:t xml:space="preserve">opo una premessa sulle nozioni essenziali di teoria del reato e sulle forme di manifestazione dell’illecito penale, verrà, innanzitutto, affrontato il problema della criminalità </w:t>
      </w:r>
      <w:r w:rsidR="00CD4CB1" w:rsidRPr="00E03AF3">
        <w:rPr>
          <w:sz w:val="18"/>
          <w:szCs w:val="18"/>
        </w:rPr>
        <w:t xml:space="preserve">d’impresa </w:t>
      </w:r>
      <w:r w:rsidR="003D005C" w:rsidRPr="00E03AF3">
        <w:rPr>
          <w:sz w:val="18"/>
          <w:szCs w:val="18"/>
        </w:rPr>
        <w:t xml:space="preserve">da una prospettiva criminologica e poi si approfondiranno le tematiche più generali riguardanti la responsabilità penale nell’esercizio delle attività economiche: saranno esaminate le diverse tecniche di tutela impiegate dal legislatore nella repressione della criminalità economica, le questioni sollevate dall’individuazione dei soggetti penalmente responsabili all’interno di organizzazioni complesse, l’evoluzione giurisprudenziale e normativa in tema di delega di funzioni, i criteri di attribuzione della responsabilità negli organi collegiali, la responsabilità da reato degli enti, prevista dal decreto legislativo n. 231/2001. </w:t>
      </w:r>
      <w:r w:rsidR="00997658" w:rsidRPr="00E03AF3">
        <w:rPr>
          <w:sz w:val="18"/>
          <w:szCs w:val="18"/>
        </w:rPr>
        <w:t xml:space="preserve">Sarà esaminato anche il tema della prevenzione del contagio da Covid-19 all’interno delle imprese, approfondendo sia la posizione di garanzia del datore di lavoro sia la responsabilità dell’ente </w:t>
      </w:r>
      <w:r w:rsidR="00997658" w:rsidRPr="00E03AF3">
        <w:rPr>
          <w:i/>
          <w:sz w:val="18"/>
          <w:szCs w:val="18"/>
        </w:rPr>
        <w:t xml:space="preserve">ex </w:t>
      </w:r>
      <w:r w:rsidR="00997658" w:rsidRPr="00E03AF3">
        <w:rPr>
          <w:sz w:val="18"/>
          <w:szCs w:val="18"/>
        </w:rPr>
        <w:t>art. 25</w:t>
      </w:r>
      <w:r w:rsidR="00A16F63" w:rsidRPr="00E03AF3">
        <w:rPr>
          <w:sz w:val="18"/>
          <w:szCs w:val="18"/>
        </w:rPr>
        <w:t>-</w:t>
      </w:r>
      <w:r w:rsidR="00997658" w:rsidRPr="00E03AF3">
        <w:rPr>
          <w:i/>
          <w:sz w:val="18"/>
          <w:szCs w:val="18"/>
        </w:rPr>
        <w:t>septies</w:t>
      </w:r>
      <w:r w:rsidR="00997658" w:rsidRPr="00E03AF3">
        <w:rPr>
          <w:sz w:val="18"/>
          <w:szCs w:val="18"/>
        </w:rPr>
        <w:t xml:space="preserve"> del D.lgs. n. 231/01.</w:t>
      </w:r>
      <w:r w:rsidR="00060355">
        <w:rPr>
          <w:sz w:val="18"/>
          <w:szCs w:val="18"/>
        </w:rPr>
        <w:t xml:space="preserve"> </w:t>
      </w:r>
      <w:r w:rsidRPr="00E03AF3">
        <w:rPr>
          <w:sz w:val="18"/>
          <w:szCs w:val="18"/>
        </w:rPr>
        <w:t xml:space="preserve">Verrà, inoltre, illustrata una panoramica dei principali reati economici presenti nel nostro ordinamento, con particolare attenzione ad alcune fattispecie del diritto penale </w:t>
      </w:r>
      <w:r w:rsidR="007F3830">
        <w:rPr>
          <w:sz w:val="18"/>
          <w:szCs w:val="18"/>
        </w:rPr>
        <w:t>tributario</w:t>
      </w:r>
      <w:r w:rsidRPr="00E03AF3">
        <w:rPr>
          <w:sz w:val="18"/>
          <w:szCs w:val="18"/>
        </w:rPr>
        <w:t xml:space="preserve">. </w:t>
      </w:r>
    </w:p>
    <w:p w14:paraId="25D8E9D9" w14:textId="7D2E6C76" w:rsidR="006A0FB4" w:rsidRDefault="006A0FB4" w:rsidP="00F13B6D">
      <w:pPr>
        <w:rPr>
          <w:sz w:val="18"/>
          <w:szCs w:val="18"/>
        </w:rPr>
      </w:pPr>
    </w:p>
    <w:p w14:paraId="7903F4E2" w14:textId="77777777" w:rsidR="00533BE2" w:rsidRPr="00E03AF3" w:rsidRDefault="00533BE2" w:rsidP="00F13B6D">
      <w:pPr>
        <w:rPr>
          <w:sz w:val="18"/>
          <w:szCs w:val="18"/>
        </w:rPr>
      </w:pPr>
    </w:p>
    <w:p w14:paraId="7BD1A1EC" w14:textId="0161FFEF" w:rsidR="00CD4CB1" w:rsidRPr="00E03AF3" w:rsidRDefault="00645FBB" w:rsidP="00F13B6D">
      <w:pPr>
        <w:keepNext/>
        <w:rPr>
          <w:color w:val="3E505B"/>
          <w:sz w:val="18"/>
          <w:szCs w:val="18"/>
        </w:rPr>
      </w:pPr>
      <w:r w:rsidRPr="00E03AF3">
        <w:rPr>
          <w:b/>
          <w:i/>
          <w:sz w:val="18"/>
          <w:szCs w:val="18"/>
        </w:rPr>
        <w:t>BIBLIOGRAFIA</w:t>
      </w:r>
      <w:r w:rsidR="00F3777D">
        <w:rPr>
          <w:rStyle w:val="Rimandonotaapidipagina"/>
          <w:b/>
          <w:i/>
          <w:sz w:val="18"/>
          <w:szCs w:val="18"/>
        </w:rPr>
        <w:footnoteReference w:id="1"/>
      </w:r>
    </w:p>
    <w:p w14:paraId="6D388904" w14:textId="6292F55A" w:rsidR="002612D4" w:rsidRPr="00E03AF3" w:rsidRDefault="00645FBB" w:rsidP="002612D4">
      <w:pPr>
        <w:ind w:firstLine="284"/>
        <w:rPr>
          <w:sz w:val="18"/>
          <w:szCs w:val="18"/>
        </w:rPr>
      </w:pPr>
      <w:r w:rsidRPr="00E03AF3">
        <w:rPr>
          <w:sz w:val="18"/>
          <w:szCs w:val="18"/>
        </w:rPr>
        <w:t xml:space="preserve">I frequentanti potranno sostenere l’esame sugli appunti delle lezioni, integrati da apposita bibliografia indicata durante il corso e dal materiale di supporto che sarà messo a disposizione su </w:t>
      </w:r>
      <w:proofErr w:type="spellStart"/>
      <w:r w:rsidRPr="00E03AF3">
        <w:rPr>
          <w:i/>
          <w:sz w:val="18"/>
          <w:szCs w:val="18"/>
        </w:rPr>
        <w:t>Blackboard</w:t>
      </w:r>
      <w:proofErr w:type="spellEnd"/>
      <w:r w:rsidRPr="00E03AF3">
        <w:rPr>
          <w:sz w:val="18"/>
          <w:szCs w:val="18"/>
        </w:rPr>
        <w:t xml:space="preserve">. </w:t>
      </w:r>
    </w:p>
    <w:p w14:paraId="6AA4B43F" w14:textId="3ADB6818" w:rsidR="00CD4CB1" w:rsidRPr="00E03AF3" w:rsidRDefault="00645FBB" w:rsidP="00F13B6D">
      <w:pPr>
        <w:tabs>
          <w:tab w:val="clear" w:pos="284"/>
        </w:tabs>
        <w:ind w:firstLine="284"/>
        <w:rPr>
          <w:color w:val="000000" w:themeColor="text1"/>
          <w:sz w:val="18"/>
          <w:szCs w:val="18"/>
          <w:shd w:val="clear" w:color="auto" w:fill="FFFFFF"/>
        </w:rPr>
      </w:pPr>
      <w:r w:rsidRPr="00E03AF3">
        <w:rPr>
          <w:color w:val="000000" w:themeColor="text1"/>
          <w:sz w:val="18"/>
          <w:szCs w:val="18"/>
        </w:rPr>
        <w:t xml:space="preserve">I non frequentanti </w:t>
      </w:r>
      <w:r w:rsidR="000E7689" w:rsidRPr="00E03AF3">
        <w:rPr>
          <w:color w:val="000000" w:themeColor="text1"/>
          <w:sz w:val="18"/>
          <w:szCs w:val="18"/>
        </w:rPr>
        <w:t>possono sostenere</w:t>
      </w:r>
      <w:r w:rsidR="00AA66E7" w:rsidRPr="00E03AF3">
        <w:rPr>
          <w:color w:val="000000" w:themeColor="text1"/>
          <w:sz w:val="18"/>
          <w:szCs w:val="18"/>
        </w:rPr>
        <w:t xml:space="preserve"> l’esame studiando gli argomenti indicati</w:t>
      </w:r>
      <w:r w:rsidR="0088488F" w:rsidRPr="00E03AF3">
        <w:rPr>
          <w:color w:val="000000" w:themeColor="text1"/>
          <w:sz w:val="18"/>
          <w:szCs w:val="18"/>
        </w:rPr>
        <w:t xml:space="preserve"> nel</w:t>
      </w:r>
      <w:r w:rsidR="00AA66E7" w:rsidRPr="00E03AF3">
        <w:rPr>
          <w:color w:val="000000" w:themeColor="text1"/>
          <w:sz w:val="18"/>
          <w:szCs w:val="18"/>
        </w:rPr>
        <w:t xml:space="preserve"> programma sul testo </w:t>
      </w:r>
      <w:r w:rsidR="00CD4CB1" w:rsidRPr="00E03AF3">
        <w:rPr>
          <w:color w:val="000000" w:themeColor="text1"/>
          <w:sz w:val="18"/>
          <w:szCs w:val="18"/>
          <w:shd w:val="clear" w:color="auto" w:fill="FFFFFF"/>
        </w:rPr>
        <w:t xml:space="preserve">di </w:t>
      </w:r>
      <w:r w:rsidR="00CD4CB1" w:rsidRPr="00E03AF3">
        <w:rPr>
          <w:smallCaps/>
          <w:color w:val="000000" w:themeColor="text1"/>
          <w:sz w:val="18"/>
          <w:szCs w:val="18"/>
          <w:shd w:val="clear" w:color="auto" w:fill="FFFFFF"/>
        </w:rPr>
        <w:t>A. Alessandri - S. Seminara</w:t>
      </w:r>
      <w:r w:rsidR="00CD4CB1" w:rsidRPr="00E03AF3">
        <w:rPr>
          <w:color w:val="000000" w:themeColor="text1"/>
          <w:sz w:val="18"/>
          <w:szCs w:val="18"/>
          <w:shd w:val="clear" w:color="auto" w:fill="FFFFFF"/>
        </w:rPr>
        <w:t xml:space="preserve">, </w:t>
      </w:r>
      <w:r w:rsidR="00CD4CB1" w:rsidRPr="00E03AF3">
        <w:rPr>
          <w:i/>
          <w:color w:val="000000" w:themeColor="text1"/>
          <w:sz w:val="18"/>
          <w:szCs w:val="18"/>
          <w:shd w:val="clear" w:color="auto" w:fill="FFFFFF"/>
        </w:rPr>
        <w:t>Diritto penale commerciale</w:t>
      </w:r>
      <w:r w:rsidR="00CD4CB1" w:rsidRPr="00E03AF3">
        <w:rPr>
          <w:color w:val="000000" w:themeColor="text1"/>
          <w:sz w:val="18"/>
          <w:szCs w:val="18"/>
          <w:shd w:val="clear" w:color="auto" w:fill="FFFFFF"/>
        </w:rPr>
        <w:t>, Vol. I</w:t>
      </w:r>
      <w:r w:rsidR="00060355">
        <w:rPr>
          <w:color w:val="000000" w:themeColor="text1"/>
          <w:sz w:val="18"/>
          <w:szCs w:val="18"/>
          <w:shd w:val="clear" w:color="auto" w:fill="FFFFFF"/>
        </w:rPr>
        <w:t xml:space="preserve">, </w:t>
      </w:r>
      <w:proofErr w:type="spellStart"/>
      <w:r w:rsidR="00CD4CB1" w:rsidRPr="00E03AF3">
        <w:rPr>
          <w:color w:val="000000" w:themeColor="text1"/>
          <w:sz w:val="18"/>
          <w:szCs w:val="18"/>
          <w:shd w:val="clear" w:color="auto" w:fill="FFFFFF"/>
        </w:rPr>
        <w:t>Giappichelli</w:t>
      </w:r>
      <w:proofErr w:type="spellEnd"/>
      <w:r w:rsidR="00CD4CB1" w:rsidRPr="00E03AF3">
        <w:rPr>
          <w:color w:val="000000" w:themeColor="text1"/>
          <w:sz w:val="18"/>
          <w:szCs w:val="18"/>
          <w:shd w:val="clear" w:color="auto" w:fill="FFFFFF"/>
        </w:rPr>
        <w:t>, 2018-2019.</w:t>
      </w:r>
      <w:r w:rsidR="00247EAC">
        <w:rPr>
          <w:color w:val="000000" w:themeColor="text1"/>
          <w:sz w:val="18"/>
          <w:szCs w:val="18"/>
          <w:shd w:val="clear" w:color="auto" w:fill="FFFFFF"/>
        </w:rPr>
        <w:t xml:space="preserve"> </w:t>
      </w:r>
      <w:r w:rsidR="00CD4CB1" w:rsidRPr="00E03AF3">
        <w:rPr>
          <w:color w:val="000000" w:themeColor="text1"/>
          <w:sz w:val="18"/>
          <w:szCs w:val="18"/>
          <w:shd w:val="clear" w:color="auto" w:fill="FFFFFF"/>
        </w:rPr>
        <w:t xml:space="preserve">In particolare, è richiesto lo studio delle seguenti parti del manuale: </w:t>
      </w:r>
    </w:p>
    <w:p w14:paraId="4068B62A" w14:textId="524A1EC8" w:rsidR="00060355" w:rsidRPr="00F3777D" w:rsidRDefault="00D27AEE" w:rsidP="00F3777D">
      <w:pPr>
        <w:pStyle w:val="Paragrafoelenco"/>
        <w:numPr>
          <w:ilvl w:val="0"/>
          <w:numId w:val="6"/>
        </w:num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proofErr w:type="spellStart"/>
      <w:r w:rsidRPr="00F3777D">
        <w:rPr>
          <w:smallCaps/>
          <w:color w:val="000000" w:themeColor="text1"/>
          <w:sz w:val="18"/>
          <w:szCs w:val="18"/>
          <w:shd w:val="clear" w:color="auto" w:fill="FFFFFF"/>
        </w:rPr>
        <w:t>A</w:t>
      </w:r>
      <w:r w:rsidR="00CD4CB1" w:rsidRPr="00F3777D">
        <w:rPr>
          <w:smallCaps/>
          <w:color w:val="000000" w:themeColor="text1"/>
          <w:sz w:val="18"/>
          <w:szCs w:val="18"/>
          <w:shd w:val="clear" w:color="auto" w:fill="FFFFFF"/>
        </w:rPr>
        <w:t>lessandri</w:t>
      </w:r>
      <w:proofErr w:type="spellEnd"/>
      <w:r w:rsidR="00CD4CB1" w:rsidRPr="00F3777D">
        <w:rPr>
          <w:smallCaps/>
          <w:color w:val="000000" w:themeColor="text1"/>
          <w:sz w:val="18"/>
          <w:szCs w:val="18"/>
          <w:shd w:val="clear" w:color="auto" w:fill="FFFFFF"/>
        </w:rPr>
        <w:t xml:space="preserve"> - S. Seminara</w:t>
      </w:r>
      <w:r w:rsidR="00CD4CB1" w:rsidRPr="00F3777D">
        <w:rPr>
          <w:color w:val="000000" w:themeColor="text1"/>
          <w:sz w:val="18"/>
          <w:szCs w:val="18"/>
          <w:shd w:val="clear" w:color="auto" w:fill="FFFFFF"/>
        </w:rPr>
        <w:t xml:space="preserve">, </w:t>
      </w:r>
      <w:r w:rsidR="00CD4CB1" w:rsidRPr="00F3777D">
        <w:rPr>
          <w:i/>
          <w:color w:val="000000" w:themeColor="text1"/>
          <w:sz w:val="18"/>
          <w:szCs w:val="18"/>
          <w:shd w:val="clear" w:color="auto" w:fill="FFFFFF"/>
        </w:rPr>
        <w:t>Diritto penale commerciale</w:t>
      </w:r>
      <w:r w:rsidR="00CD4CB1" w:rsidRPr="00F3777D">
        <w:rPr>
          <w:color w:val="000000" w:themeColor="text1"/>
          <w:sz w:val="18"/>
          <w:szCs w:val="18"/>
          <w:shd w:val="clear" w:color="auto" w:fill="FFFFFF"/>
        </w:rPr>
        <w:t>, vol. I</w:t>
      </w:r>
      <w:r w:rsidR="00CD4CB1" w:rsidRPr="00F3777D">
        <w:rPr>
          <w:i/>
          <w:color w:val="000000" w:themeColor="text1"/>
          <w:sz w:val="18"/>
          <w:szCs w:val="18"/>
          <w:shd w:val="clear" w:color="auto" w:fill="FFFFFF"/>
        </w:rPr>
        <w:t>, I principi generali</w:t>
      </w:r>
      <w:r w:rsidR="002612D4" w:rsidRPr="00F3777D">
        <w:rPr>
          <w:i/>
          <w:color w:val="000000" w:themeColor="text1"/>
          <w:sz w:val="18"/>
          <w:szCs w:val="18"/>
          <w:shd w:val="clear" w:color="auto" w:fill="FFFFFF"/>
        </w:rPr>
        <w:t xml:space="preserve">, </w:t>
      </w:r>
      <w:proofErr w:type="spellStart"/>
      <w:r w:rsidR="002612D4" w:rsidRPr="00F3777D">
        <w:rPr>
          <w:color w:val="000000" w:themeColor="text1"/>
          <w:sz w:val="18"/>
          <w:szCs w:val="18"/>
          <w:shd w:val="clear" w:color="auto" w:fill="FFFFFF"/>
        </w:rPr>
        <w:t>Giappichelli</w:t>
      </w:r>
      <w:proofErr w:type="spellEnd"/>
      <w:r w:rsidR="002612D4" w:rsidRPr="00F3777D">
        <w:rPr>
          <w:color w:val="000000" w:themeColor="text1"/>
          <w:sz w:val="18"/>
          <w:szCs w:val="18"/>
          <w:shd w:val="clear" w:color="auto" w:fill="FFFFFF"/>
        </w:rPr>
        <w:t>, 2018</w:t>
      </w:r>
      <w:r w:rsidR="00060355" w:rsidRPr="00F3777D">
        <w:rPr>
          <w:color w:val="000000" w:themeColor="text1"/>
          <w:sz w:val="18"/>
          <w:szCs w:val="18"/>
          <w:shd w:val="clear" w:color="auto" w:fill="FFFFFF"/>
        </w:rPr>
        <w:t xml:space="preserve">. </w:t>
      </w:r>
      <w:hyperlink r:id="rId12" w:history="1">
        <w:r w:rsidR="00F3777D" w:rsidRPr="00F3777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5" w:name="_GoBack"/>
      <w:bookmarkEnd w:id="5"/>
    </w:p>
    <w:p w14:paraId="60032B88" w14:textId="61CBF41F" w:rsidR="00C62A60" w:rsidRPr="005A684A" w:rsidRDefault="00CD4CB1" w:rsidP="005A684A">
      <w:pPr>
        <w:tabs>
          <w:tab w:val="clear" w:pos="284"/>
        </w:tabs>
        <w:rPr>
          <w:color w:val="000000" w:themeColor="text1"/>
          <w:sz w:val="18"/>
        </w:rPr>
      </w:pPr>
      <w:r w:rsidRPr="005A684A">
        <w:rPr>
          <w:sz w:val="18"/>
        </w:rPr>
        <w:t xml:space="preserve">Gli studenti non frequentati sono comunque tenuti a verificare su </w:t>
      </w:r>
      <w:proofErr w:type="spellStart"/>
      <w:r w:rsidRPr="005A684A">
        <w:rPr>
          <w:i/>
          <w:sz w:val="18"/>
        </w:rPr>
        <w:t>Blackboard</w:t>
      </w:r>
      <w:proofErr w:type="spellEnd"/>
      <w:r w:rsidRPr="005A684A">
        <w:rPr>
          <w:sz w:val="18"/>
        </w:rPr>
        <w:t xml:space="preserve"> eventuali modifiche o integrazioni delle indicazioni bibliografiche</w:t>
      </w:r>
      <w:r w:rsidRPr="00060355">
        <w:rPr>
          <w:sz w:val="18"/>
          <w:szCs w:val="18"/>
        </w:rPr>
        <w:t xml:space="preserve">. </w:t>
      </w:r>
    </w:p>
    <w:p w14:paraId="520CAB9A" w14:textId="77777777" w:rsidR="004F5776" w:rsidRPr="00E03AF3" w:rsidRDefault="004F5776" w:rsidP="00F13B6D">
      <w:pPr>
        <w:ind w:left="284" w:hanging="284"/>
        <w:rPr>
          <w:sz w:val="18"/>
          <w:szCs w:val="18"/>
        </w:rPr>
      </w:pPr>
    </w:p>
    <w:p w14:paraId="2828F370" w14:textId="5B309935" w:rsidR="00CD4CB1" w:rsidRPr="00E03AF3" w:rsidRDefault="00645FBB" w:rsidP="00F13B6D">
      <w:pPr>
        <w:ind w:left="284" w:hanging="284"/>
        <w:rPr>
          <w:b/>
          <w:i/>
          <w:sz w:val="18"/>
          <w:szCs w:val="18"/>
        </w:rPr>
      </w:pPr>
      <w:r w:rsidRPr="00E03AF3">
        <w:rPr>
          <w:b/>
          <w:i/>
          <w:sz w:val="18"/>
          <w:szCs w:val="18"/>
        </w:rPr>
        <w:lastRenderedPageBreak/>
        <w:t>D</w:t>
      </w:r>
      <w:r w:rsidR="003D005C" w:rsidRPr="00E03AF3">
        <w:rPr>
          <w:b/>
          <w:i/>
          <w:sz w:val="18"/>
          <w:szCs w:val="18"/>
        </w:rPr>
        <w:t>ID</w:t>
      </w:r>
      <w:r w:rsidRPr="00E03AF3">
        <w:rPr>
          <w:b/>
          <w:i/>
          <w:sz w:val="18"/>
          <w:szCs w:val="18"/>
        </w:rPr>
        <w:t>ATTICA DEL CORSO</w:t>
      </w:r>
    </w:p>
    <w:p w14:paraId="64FF7DDE" w14:textId="727261BD" w:rsidR="00CD4CB1" w:rsidRDefault="00645FBB" w:rsidP="00F13B6D">
      <w:pPr>
        <w:pStyle w:val="Testo2"/>
        <w:spacing w:line="240" w:lineRule="exact"/>
        <w:rPr>
          <w:szCs w:val="18"/>
        </w:rPr>
      </w:pPr>
      <w:r w:rsidRPr="00E03AF3">
        <w:rPr>
          <w:szCs w:val="18"/>
        </w:rPr>
        <w:t>Lezioni frontali</w:t>
      </w:r>
      <w:r w:rsidR="00CD4CB1" w:rsidRPr="00E03AF3">
        <w:rPr>
          <w:szCs w:val="18"/>
        </w:rPr>
        <w:t xml:space="preserve">. Nello svolgimento delle lezioni, il docente proporrà percorsi di “clinica del diritto penale”: verranno cioè discussi in aula atti e documenti relativi a processi penali nei quali si sono dibattute alcune delle questioni affrontate durante il corso. L’analisi di vicende giudiziarie e di precedenti giurisprudenziali sarà condotta anche con l’intervento di avvocati e magistrati. </w:t>
      </w:r>
    </w:p>
    <w:p w14:paraId="291C878C" w14:textId="77777777" w:rsidR="00F13B6D" w:rsidRPr="00E03AF3" w:rsidRDefault="00F13B6D" w:rsidP="00F13B6D">
      <w:pPr>
        <w:pStyle w:val="Testo2"/>
        <w:spacing w:line="240" w:lineRule="exact"/>
        <w:rPr>
          <w:szCs w:val="18"/>
        </w:rPr>
      </w:pPr>
    </w:p>
    <w:p w14:paraId="42908E3C" w14:textId="4292593B" w:rsidR="00645FBB" w:rsidRPr="00E03AF3" w:rsidRDefault="00645FBB" w:rsidP="00F13B6D">
      <w:pPr>
        <w:rPr>
          <w:b/>
          <w:i/>
          <w:sz w:val="18"/>
          <w:szCs w:val="18"/>
        </w:rPr>
      </w:pPr>
      <w:r w:rsidRPr="00E03AF3">
        <w:rPr>
          <w:b/>
          <w:i/>
          <w:sz w:val="18"/>
          <w:szCs w:val="18"/>
        </w:rPr>
        <w:t xml:space="preserve">METODO </w:t>
      </w:r>
      <w:r w:rsidR="009703BF" w:rsidRPr="00E03AF3">
        <w:rPr>
          <w:b/>
          <w:i/>
          <w:sz w:val="18"/>
          <w:szCs w:val="18"/>
        </w:rPr>
        <w:t>E CRITERI DI VALUTAZIONE</w:t>
      </w:r>
    </w:p>
    <w:p w14:paraId="3EAD6193" w14:textId="77777777" w:rsidR="00E76906" w:rsidRPr="00E03AF3" w:rsidRDefault="00E76906" w:rsidP="00F13B6D">
      <w:pPr>
        <w:pStyle w:val="Testo2"/>
        <w:spacing w:line="240" w:lineRule="exact"/>
        <w:rPr>
          <w:szCs w:val="18"/>
        </w:rPr>
      </w:pPr>
      <w:r w:rsidRPr="00E03AF3">
        <w:rPr>
          <w:szCs w:val="18"/>
        </w:rPr>
        <w:t>Gli studenti frequentanti dovranno sostenere l’esame in forma orale sugli appunti delle  lezioni, integrati dai materiali forniti dal docente durante il corso.</w:t>
      </w:r>
    </w:p>
    <w:p w14:paraId="1C850CB6" w14:textId="1AE267AD" w:rsidR="00E76906" w:rsidRPr="00E03AF3" w:rsidRDefault="00E76906" w:rsidP="00F13B6D">
      <w:pPr>
        <w:pStyle w:val="Testo2"/>
        <w:spacing w:line="240" w:lineRule="exact"/>
        <w:rPr>
          <w:szCs w:val="18"/>
        </w:rPr>
      </w:pPr>
      <w:r w:rsidRPr="00E03AF3">
        <w:rPr>
          <w:szCs w:val="18"/>
        </w:rPr>
        <w:t>Gli studenti non frequentanti dovranno sostenere l’esame in forma orale sull’intero programma indicato nella guida del corso di laurea in Giurisprudenza attenendosi alla bibliografia ivi indicata.</w:t>
      </w:r>
    </w:p>
    <w:p w14:paraId="2BE23512" w14:textId="4688D150" w:rsidR="009703BF" w:rsidRDefault="0014039F" w:rsidP="00F13B6D">
      <w:pPr>
        <w:pStyle w:val="Testo2"/>
        <w:spacing w:line="240" w:lineRule="exact"/>
        <w:rPr>
          <w:szCs w:val="18"/>
        </w:rPr>
      </w:pPr>
      <w:r w:rsidRPr="00E03AF3">
        <w:rPr>
          <w:szCs w:val="18"/>
        </w:rPr>
        <w:t>La valutazione dell’esame sarà operata in trentesimi</w:t>
      </w:r>
      <w:r w:rsidRPr="00E03AF3">
        <w:rPr>
          <w:noProof w:val="0"/>
          <w:szCs w:val="18"/>
        </w:rPr>
        <w:t>; a</w:t>
      </w:r>
      <w:r w:rsidR="009703BF" w:rsidRPr="00E03AF3">
        <w:rPr>
          <w:szCs w:val="18"/>
        </w:rPr>
        <w:t>i fini della valutazione concorreranno la pertinenza delle risposte, la conoscenza degli istituti, l’uso appropriato della terminologia specifica, la strutturazione argomentata e coerente del discorso, la capacità di individuare nessi concettuali e questioni critiche.</w:t>
      </w:r>
    </w:p>
    <w:p w14:paraId="09D2C089" w14:textId="77777777" w:rsidR="00F13B6D" w:rsidRPr="00E03AF3" w:rsidRDefault="00F13B6D" w:rsidP="00F13B6D">
      <w:pPr>
        <w:pStyle w:val="Testo2"/>
        <w:spacing w:line="240" w:lineRule="exact"/>
        <w:rPr>
          <w:szCs w:val="18"/>
        </w:rPr>
      </w:pPr>
    </w:p>
    <w:p w14:paraId="37456075" w14:textId="2D609575" w:rsidR="00645FBB" w:rsidRPr="00E03AF3" w:rsidRDefault="00645FBB" w:rsidP="00F13B6D">
      <w:pPr>
        <w:rPr>
          <w:b/>
          <w:i/>
          <w:sz w:val="18"/>
          <w:szCs w:val="18"/>
        </w:rPr>
      </w:pPr>
      <w:r w:rsidRPr="00E03AF3">
        <w:rPr>
          <w:b/>
          <w:i/>
          <w:sz w:val="18"/>
          <w:szCs w:val="18"/>
        </w:rPr>
        <w:t>AVVERTENZE</w:t>
      </w:r>
      <w:r w:rsidR="009703BF" w:rsidRPr="00E03AF3">
        <w:rPr>
          <w:b/>
          <w:i/>
          <w:sz w:val="18"/>
          <w:szCs w:val="18"/>
        </w:rPr>
        <w:t xml:space="preserve"> E PREREQUISITI</w:t>
      </w:r>
    </w:p>
    <w:p w14:paraId="59A72784" w14:textId="77777777" w:rsidR="00C62A60" w:rsidRPr="00E03AF3" w:rsidRDefault="00645FBB" w:rsidP="00F13B6D">
      <w:pPr>
        <w:pStyle w:val="Testo2"/>
        <w:spacing w:line="240" w:lineRule="exact"/>
        <w:rPr>
          <w:szCs w:val="18"/>
        </w:rPr>
      </w:pPr>
      <w:r w:rsidRPr="00E03AF3">
        <w:rPr>
          <w:szCs w:val="18"/>
        </w:rPr>
        <w:t xml:space="preserve">È </w:t>
      </w:r>
      <w:r w:rsidRPr="00E03AF3">
        <w:rPr>
          <w:i/>
          <w:szCs w:val="18"/>
        </w:rPr>
        <w:t xml:space="preserve">vivissimamente </w:t>
      </w:r>
      <w:r w:rsidRPr="00E03AF3">
        <w:rPr>
          <w:szCs w:val="18"/>
        </w:rPr>
        <w:t xml:space="preserve">consigliata la frequenza. </w:t>
      </w:r>
    </w:p>
    <w:p w14:paraId="411FDB61" w14:textId="77777777" w:rsidR="00E03AF3" w:rsidRDefault="00C62A60" w:rsidP="00F13B6D">
      <w:pPr>
        <w:pStyle w:val="Testo2"/>
        <w:spacing w:line="240" w:lineRule="exact"/>
        <w:rPr>
          <w:szCs w:val="18"/>
        </w:rPr>
      </w:pPr>
      <w:r w:rsidRPr="00E03AF3">
        <w:rPr>
          <w:szCs w:val="18"/>
        </w:rPr>
        <w:t>Non sono richiesti particolari prerequisiti; durante il corso verranno fornite anche agli studenti che non abbiano sostenuto l’esame di Diritto penale I le nozioni fondamentali per comprendere la materia. È tuttavia auspicata una certa disponibilità culturale alla riflessione critica della questione criminale.</w:t>
      </w:r>
    </w:p>
    <w:p w14:paraId="35BFF35D" w14:textId="7530EC68" w:rsidR="005425EF" w:rsidRDefault="00CD4CB1" w:rsidP="00F13B6D">
      <w:pPr>
        <w:pStyle w:val="Testo2"/>
        <w:spacing w:line="240" w:lineRule="exact"/>
        <w:rPr>
          <w:szCs w:val="18"/>
        </w:rPr>
      </w:pPr>
      <w:r w:rsidRPr="00E03AF3">
        <w:rPr>
          <w:szCs w:val="18"/>
        </w:rPr>
        <w:t>Ulteriori informazioni potranno essere reperit</w:t>
      </w:r>
      <w:r w:rsidR="00BA059F" w:rsidRPr="00E03AF3">
        <w:rPr>
          <w:szCs w:val="18"/>
        </w:rPr>
        <w:t xml:space="preserve">e </w:t>
      </w:r>
      <w:r w:rsidRPr="00E03AF3">
        <w:rPr>
          <w:szCs w:val="18"/>
        </w:rPr>
        <w:t>nella pagina</w:t>
      </w:r>
      <w:r w:rsidRPr="00E03AF3">
        <w:rPr>
          <w:i/>
          <w:szCs w:val="18"/>
        </w:rPr>
        <w:t xml:space="preserve"> web</w:t>
      </w:r>
      <w:r w:rsidRPr="00E03AF3">
        <w:rPr>
          <w:szCs w:val="18"/>
        </w:rPr>
        <w:t xml:space="preserve"> del docente</w:t>
      </w:r>
      <w:r w:rsidR="00BA059F" w:rsidRPr="00E03AF3">
        <w:rPr>
          <w:szCs w:val="18"/>
        </w:rPr>
        <w:t>.</w:t>
      </w:r>
    </w:p>
    <w:p w14:paraId="70EA4B2A" w14:textId="77777777" w:rsidR="00F13B6D" w:rsidRPr="00E03AF3" w:rsidRDefault="00F13B6D" w:rsidP="00F13B6D">
      <w:pPr>
        <w:pStyle w:val="Testo2"/>
        <w:spacing w:line="240" w:lineRule="exact"/>
        <w:rPr>
          <w:szCs w:val="18"/>
        </w:rPr>
      </w:pPr>
    </w:p>
    <w:p w14:paraId="1FE8151F" w14:textId="77777777" w:rsidR="005425EF" w:rsidRPr="00E03AF3" w:rsidRDefault="005425EF" w:rsidP="00F13B6D">
      <w:pPr>
        <w:rPr>
          <w:rFonts w:eastAsia="MS Mincho"/>
          <w:b/>
          <w:i/>
          <w:sz w:val="18"/>
          <w:szCs w:val="18"/>
        </w:rPr>
      </w:pPr>
      <w:r w:rsidRPr="00E03AF3">
        <w:rPr>
          <w:rFonts w:eastAsia="MS Mincho"/>
          <w:b/>
          <w:i/>
          <w:sz w:val="18"/>
          <w:szCs w:val="18"/>
        </w:rPr>
        <w:t>ORARIO E LUOGO DI RICEVIMENTO DEGLI STUDENTI</w:t>
      </w:r>
    </w:p>
    <w:p w14:paraId="5BCA0EAA" w14:textId="74D3C85A" w:rsidR="00640FC8" w:rsidRPr="002E5B48" w:rsidRDefault="00640FC8" w:rsidP="005A684A">
      <w:pPr>
        <w:spacing w:line="220" w:lineRule="exact"/>
        <w:ind w:firstLine="284"/>
        <w:rPr>
          <w:sz w:val="18"/>
          <w:szCs w:val="18"/>
        </w:rPr>
      </w:pPr>
      <w:r w:rsidRPr="002E5B48">
        <w:rPr>
          <w:sz w:val="18"/>
          <w:szCs w:val="18"/>
        </w:rPr>
        <w:t>I</w:t>
      </w:r>
      <w:r w:rsidR="00521BDE">
        <w:rPr>
          <w:sz w:val="18"/>
          <w:szCs w:val="18"/>
        </w:rPr>
        <w:t xml:space="preserve">l </w:t>
      </w:r>
      <w:r w:rsidRPr="002E5B48">
        <w:rPr>
          <w:sz w:val="18"/>
          <w:szCs w:val="18"/>
        </w:rPr>
        <w:t>docent</w:t>
      </w:r>
      <w:r w:rsidR="00521BDE">
        <w:rPr>
          <w:sz w:val="18"/>
          <w:szCs w:val="18"/>
        </w:rPr>
        <w:t xml:space="preserve">e </w:t>
      </w:r>
      <w:r w:rsidRPr="002E5B48">
        <w:rPr>
          <w:sz w:val="18"/>
          <w:szCs w:val="18"/>
        </w:rPr>
        <w:t>ricev</w:t>
      </w:r>
      <w:r w:rsidR="00521BDE">
        <w:rPr>
          <w:sz w:val="18"/>
          <w:szCs w:val="18"/>
        </w:rPr>
        <w:t>e</w:t>
      </w:r>
      <w:r w:rsidRPr="002E5B48">
        <w:rPr>
          <w:sz w:val="18"/>
          <w:szCs w:val="18"/>
        </w:rPr>
        <w:t xml:space="preserve"> gli studenti su appuntamento, da richiedere via e-mail, cui seguirà convocazione su piattaforma </w:t>
      </w:r>
      <w:r w:rsidRPr="002E5B48">
        <w:rPr>
          <w:i/>
          <w:iCs/>
          <w:sz w:val="18"/>
          <w:szCs w:val="18"/>
        </w:rPr>
        <w:t>Teams</w:t>
      </w:r>
      <w:r w:rsidRPr="002E5B48">
        <w:rPr>
          <w:sz w:val="18"/>
          <w:szCs w:val="18"/>
        </w:rPr>
        <w:t xml:space="preserve">, salva comunicazione della possibilità di ricevere gli studenti presso il </w:t>
      </w:r>
      <w:r w:rsidR="001B634E">
        <w:rPr>
          <w:sz w:val="18"/>
          <w:szCs w:val="18"/>
        </w:rPr>
        <w:t xml:space="preserve">Dipartimento di Scienze Giuridiche </w:t>
      </w:r>
      <w:r w:rsidRPr="002E5B48">
        <w:rPr>
          <w:sz w:val="18"/>
          <w:szCs w:val="18"/>
        </w:rPr>
        <w:t>(stanza 651) nell’orario che verrà indicato.</w:t>
      </w:r>
      <w:r w:rsidR="00AC60E6">
        <w:rPr>
          <w:sz w:val="18"/>
          <w:szCs w:val="18"/>
        </w:rPr>
        <w:t xml:space="preserve"> </w:t>
      </w:r>
      <w:r w:rsidRPr="002E5B48">
        <w:rPr>
          <w:sz w:val="18"/>
          <w:szCs w:val="18"/>
        </w:rPr>
        <w:t xml:space="preserve">Ogni studente è invitato a fare riferimento per aggiornamenti generali alla pagina personale del docente, consultabile al sito </w:t>
      </w:r>
      <w:hyperlink r:id="rId13" w:history="1">
        <w:r w:rsidRPr="002E5B48">
          <w:rPr>
            <w:rStyle w:val="Collegamentoipertestuale"/>
            <w:sz w:val="18"/>
            <w:szCs w:val="18"/>
          </w:rPr>
          <w:t>http://docenti.unicatt.it/</w:t>
        </w:r>
      </w:hyperlink>
      <w:r w:rsidRPr="002E5B48">
        <w:rPr>
          <w:rStyle w:val="Collegamentoipertestuale"/>
          <w:sz w:val="18"/>
          <w:szCs w:val="18"/>
        </w:rPr>
        <w:t xml:space="preserve">. </w:t>
      </w:r>
    </w:p>
    <w:p w14:paraId="17308BF1" w14:textId="09B765D3" w:rsidR="005425EF" w:rsidRPr="005A684A" w:rsidRDefault="005425EF" w:rsidP="005A684A">
      <w:pPr>
        <w:tabs>
          <w:tab w:val="clear" w:pos="284"/>
        </w:tabs>
        <w:rPr>
          <w:sz w:val="18"/>
        </w:rPr>
      </w:pPr>
    </w:p>
    <w:sectPr w:rsidR="005425EF" w:rsidRPr="005A684A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36E86" w14:textId="77777777" w:rsidR="00F3777D" w:rsidRDefault="00F3777D" w:rsidP="00F3777D">
      <w:pPr>
        <w:spacing w:line="240" w:lineRule="auto"/>
      </w:pPr>
      <w:r>
        <w:separator/>
      </w:r>
    </w:p>
  </w:endnote>
  <w:endnote w:type="continuationSeparator" w:id="0">
    <w:p w14:paraId="5B74F34D" w14:textId="77777777" w:rsidR="00F3777D" w:rsidRDefault="00F3777D" w:rsidP="00F377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A5E8D" w14:textId="77777777" w:rsidR="00F3777D" w:rsidRDefault="00F3777D" w:rsidP="00F3777D">
      <w:pPr>
        <w:spacing w:line="240" w:lineRule="auto"/>
      </w:pPr>
      <w:r>
        <w:separator/>
      </w:r>
    </w:p>
  </w:footnote>
  <w:footnote w:type="continuationSeparator" w:id="0">
    <w:p w14:paraId="1ED539E9" w14:textId="77777777" w:rsidR="00F3777D" w:rsidRDefault="00F3777D" w:rsidP="00F3777D">
      <w:pPr>
        <w:spacing w:line="240" w:lineRule="auto"/>
      </w:pPr>
      <w:r>
        <w:continuationSeparator/>
      </w:r>
    </w:p>
  </w:footnote>
  <w:footnote w:id="1">
    <w:p w14:paraId="005D5C8C" w14:textId="77777777" w:rsidR="00F3777D" w:rsidRDefault="00F3777D" w:rsidP="00F3777D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anche presso altri rivenditori. </w:t>
      </w:r>
    </w:p>
    <w:p w14:paraId="27A42EF2" w14:textId="6A3C7DAE" w:rsidR="00F3777D" w:rsidRDefault="00F3777D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025A4"/>
    <w:multiLevelType w:val="hybridMultilevel"/>
    <w:tmpl w:val="A908064E"/>
    <w:lvl w:ilvl="0" w:tplc="4600DE8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CEA58BE"/>
    <w:multiLevelType w:val="hybridMultilevel"/>
    <w:tmpl w:val="1EC6F7CA"/>
    <w:lvl w:ilvl="0" w:tplc="1AF6D46E">
      <w:start w:val="1"/>
      <w:numFmt w:val="upperLetter"/>
      <w:lvlText w:val="%1."/>
      <w:lvlJc w:val="left"/>
      <w:pPr>
        <w:ind w:left="720" w:hanging="360"/>
      </w:pPr>
      <w:rPr>
        <w:rFonts w:ascii="Times" w:hAnsi="Times" w:hint="default"/>
        <w:i w:val="0"/>
        <w:color w:val="000000" w:themeColor="text1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D3A9C"/>
    <w:multiLevelType w:val="hybridMultilevel"/>
    <w:tmpl w:val="C010AC2C"/>
    <w:lvl w:ilvl="0" w:tplc="628626B2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464D6"/>
    <w:multiLevelType w:val="hybridMultilevel"/>
    <w:tmpl w:val="86ECA5FA"/>
    <w:lvl w:ilvl="0" w:tplc="628626B2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F701A"/>
    <w:multiLevelType w:val="hybridMultilevel"/>
    <w:tmpl w:val="E72AFA5A"/>
    <w:lvl w:ilvl="0" w:tplc="1D10659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2CE1DE3"/>
    <w:multiLevelType w:val="hybridMultilevel"/>
    <w:tmpl w:val="676E6286"/>
    <w:lvl w:ilvl="0" w:tplc="628626B2">
      <w:numFmt w:val="bullet"/>
      <w:lvlText w:val="-"/>
      <w:lvlJc w:val="left"/>
      <w:pPr>
        <w:ind w:left="100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3F30787"/>
    <w:multiLevelType w:val="hybridMultilevel"/>
    <w:tmpl w:val="6298DD4A"/>
    <w:lvl w:ilvl="0" w:tplc="08D2998E">
      <w:start w:val="1"/>
      <w:numFmt w:val="bullet"/>
      <w:lvlText w:val="-"/>
      <w:lvlJc w:val="left"/>
      <w:pPr>
        <w:ind w:left="1068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F3"/>
    <w:rsid w:val="000405C6"/>
    <w:rsid w:val="00060355"/>
    <w:rsid w:val="000B478A"/>
    <w:rsid w:val="000D03C7"/>
    <w:rsid w:val="000D7EA6"/>
    <w:rsid w:val="000E7689"/>
    <w:rsid w:val="000F4DC1"/>
    <w:rsid w:val="0014039F"/>
    <w:rsid w:val="00151601"/>
    <w:rsid w:val="00156945"/>
    <w:rsid w:val="001B634E"/>
    <w:rsid w:val="001F7CC3"/>
    <w:rsid w:val="00247EAC"/>
    <w:rsid w:val="002505E5"/>
    <w:rsid w:val="002612D4"/>
    <w:rsid w:val="002B0887"/>
    <w:rsid w:val="002D7078"/>
    <w:rsid w:val="00305504"/>
    <w:rsid w:val="0032143F"/>
    <w:rsid w:val="00355A8D"/>
    <w:rsid w:val="00372D03"/>
    <w:rsid w:val="003D005C"/>
    <w:rsid w:val="00442EA4"/>
    <w:rsid w:val="00475E06"/>
    <w:rsid w:val="00496385"/>
    <w:rsid w:val="004F5776"/>
    <w:rsid w:val="00501541"/>
    <w:rsid w:val="00521BDE"/>
    <w:rsid w:val="00533BE2"/>
    <w:rsid w:val="005425EF"/>
    <w:rsid w:val="0057427F"/>
    <w:rsid w:val="00597110"/>
    <w:rsid w:val="005A684A"/>
    <w:rsid w:val="00602267"/>
    <w:rsid w:val="00640FC8"/>
    <w:rsid w:val="00645FBB"/>
    <w:rsid w:val="006A0FB4"/>
    <w:rsid w:val="006D0891"/>
    <w:rsid w:val="007126A8"/>
    <w:rsid w:val="00795F3D"/>
    <w:rsid w:val="007D6ECB"/>
    <w:rsid w:val="007F3830"/>
    <w:rsid w:val="00830D23"/>
    <w:rsid w:val="008519FE"/>
    <w:rsid w:val="0088488F"/>
    <w:rsid w:val="008E151A"/>
    <w:rsid w:val="008F2D2F"/>
    <w:rsid w:val="0091071D"/>
    <w:rsid w:val="00966839"/>
    <w:rsid w:val="009703BF"/>
    <w:rsid w:val="00997658"/>
    <w:rsid w:val="009D1DF3"/>
    <w:rsid w:val="009E3D5B"/>
    <w:rsid w:val="00A16F63"/>
    <w:rsid w:val="00AA66E7"/>
    <w:rsid w:val="00AC60E6"/>
    <w:rsid w:val="00AD3E37"/>
    <w:rsid w:val="00AE77A3"/>
    <w:rsid w:val="00AF6B0E"/>
    <w:rsid w:val="00AF724C"/>
    <w:rsid w:val="00B73C4F"/>
    <w:rsid w:val="00B90B84"/>
    <w:rsid w:val="00BA059F"/>
    <w:rsid w:val="00BD5343"/>
    <w:rsid w:val="00C62A60"/>
    <w:rsid w:val="00C72867"/>
    <w:rsid w:val="00C85C49"/>
    <w:rsid w:val="00CD43DE"/>
    <w:rsid w:val="00CD4CB1"/>
    <w:rsid w:val="00CE575D"/>
    <w:rsid w:val="00D27AEE"/>
    <w:rsid w:val="00D716DD"/>
    <w:rsid w:val="00E03AF3"/>
    <w:rsid w:val="00E26CD5"/>
    <w:rsid w:val="00E76906"/>
    <w:rsid w:val="00F13B6D"/>
    <w:rsid w:val="00F3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7510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rsid w:val="000E76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E7689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6D0891"/>
    <w:rPr>
      <w:rFonts w:ascii="Times" w:hAnsi="Times"/>
      <w:smallCaps/>
      <w:noProof/>
      <w:sz w:val="18"/>
    </w:rPr>
  </w:style>
  <w:style w:type="paragraph" w:styleId="Paragrafoelenco">
    <w:name w:val="List Paragraph"/>
    <w:basedOn w:val="Normale"/>
    <w:uiPriority w:val="34"/>
    <w:qFormat/>
    <w:rsid w:val="00AA66E7"/>
    <w:pPr>
      <w:ind w:left="720"/>
      <w:contextualSpacing/>
    </w:pPr>
  </w:style>
  <w:style w:type="paragraph" w:styleId="Mappadocumento">
    <w:name w:val="Document Map"/>
    <w:basedOn w:val="Normale"/>
    <w:link w:val="MappadocumentoCarattere"/>
    <w:semiHidden/>
    <w:unhideWhenUsed/>
    <w:rsid w:val="0088488F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88488F"/>
    <w:rPr>
      <w:sz w:val="24"/>
      <w:szCs w:val="24"/>
    </w:rPr>
  </w:style>
  <w:style w:type="character" w:styleId="Rimandocommento">
    <w:name w:val="annotation reference"/>
    <w:basedOn w:val="Carpredefinitoparagrafo"/>
    <w:semiHidden/>
    <w:unhideWhenUsed/>
    <w:rsid w:val="00CE575D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E575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CE575D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E575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E575D"/>
    <w:rPr>
      <w:rFonts w:ascii="Times" w:hAnsi="Times"/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62A60"/>
    <w:rPr>
      <w:color w:val="0000FF"/>
      <w:u w:val="single"/>
    </w:rPr>
  </w:style>
  <w:style w:type="paragraph" w:styleId="Revisione">
    <w:name w:val="Revision"/>
    <w:hidden/>
    <w:uiPriority w:val="99"/>
    <w:semiHidden/>
    <w:rsid w:val="0091071D"/>
    <w:rPr>
      <w:rFonts w:ascii="Times" w:hAnsi="Time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95F3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2D7078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B0887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3777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3777D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F377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rsid w:val="000E76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E7689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6D0891"/>
    <w:rPr>
      <w:rFonts w:ascii="Times" w:hAnsi="Times"/>
      <w:smallCaps/>
      <w:noProof/>
      <w:sz w:val="18"/>
    </w:rPr>
  </w:style>
  <w:style w:type="paragraph" w:styleId="Paragrafoelenco">
    <w:name w:val="List Paragraph"/>
    <w:basedOn w:val="Normale"/>
    <w:uiPriority w:val="34"/>
    <w:qFormat/>
    <w:rsid w:val="00AA66E7"/>
    <w:pPr>
      <w:ind w:left="720"/>
      <w:contextualSpacing/>
    </w:pPr>
  </w:style>
  <w:style w:type="paragraph" w:styleId="Mappadocumento">
    <w:name w:val="Document Map"/>
    <w:basedOn w:val="Normale"/>
    <w:link w:val="MappadocumentoCarattere"/>
    <w:semiHidden/>
    <w:unhideWhenUsed/>
    <w:rsid w:val="0088488F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88488F"/>
    <w:rPr>
      <w:sz w:val="24"/>
      <w:szCs w:val="24"/>
    </w:rPr>
  </w:style>
  <w:style w:type="character" w:styleId="Rimandocommento">
    <w:name w:val="annotation reference"/>
    <w:basedOn w:val="Carpredefinitoparagrafo"/>
    <w:semiHidden/>
    <w:unhideWhenUsed/>
    <w:rsid w:val="00CE575D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E575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CE575D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E575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E575D"/>
    <w:rPr>
      <w:rFonts w:ascii="Times" w:hAnsi="Times"/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62A60"/>
    <w:rPr>
      <w:color w:val="0000FF"/>
      <w:u w:val="single"/>
    </w:rPr>
  </w:style>
  <w:style w:type="paragraph" w:styleId="Revisione">
    <w:name w:val="Revision"/>
    <w:hidden/>
    <w:uiPriority w:val="99"/>
    <w:semiHidden/>
    <w:rsid w:val="0091071D"/>
    <w:rPr>
      <w:rFonts w:ascii="Times" w:hAnsi="Time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95F3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2D7078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B0887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3777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3777D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F377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9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3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docenti.unicatt.it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librerie.unicatt.it/scheda-libro/alberto-alessandri-sergio-seminara/diritto-penale-commerciale-9788892116788-683996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834E8-CED3-4C45-9F77-50F93CE7A6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0D573A-04FD-4261-BBF1-79A4E2F646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B48370-0A95-4426-8276-1C20DF488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E47914-0F61-4A4E-9A88-665185184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5</TotalTime>
  <Pages>3</Pages>
  <Words>983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Locci Amedeo</cp:lastModifiedBy>
  <cp:revision>5</cp:revision>
  <cp:lastPrinted>2011-05-30T14:03:00Z</cp:lastPrinted>
  <dcterms:created xsi:type="dcterms:W3CDTF">2021-05-09T14:23:00Z</dcterms:created>
  <dcterms:modified xsi:type="dcterms:W3CDTF">2021-08-25T12:57:00Z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