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497AF" w14:textId="77777777" w:rsidR="005C0B34" w:rsidRPr="002F7B62" w:rsidRDefault="0015784C" w:rsidP="005C0B34">
      <w:pPr>
        <w:rPr>
          <w:rFonts w:ascii="Times New Roman" w:hAnsi="Times New Roman"/>
          <w:b/>
        </w:rPr>
      </w:pPr>
      <w:bookmarkStart w:id="0" w:name="_GoBack"/>
      <w:bookmarkEnd w:id="0"/>
      <w:r w:rsidRPr="002F7B62">
        <w:rPr>
          <w:rFonts w:ascii="Times New Roman" w:hAnsi="Times New Roman"/>
          <w:b/>
        </w:rPr>
        <w:t>Gestione della Crisi d’I</w:t>
      </w:r>
      <w:r w:rsidR="00A45D43" w:rsidRPr="002F7B62">
        <w:rPr>
          <w:rFonts w:ascii="Times New Roman" w:hAnsi="Times New Roman"/>
          <w:b/>
        </w:rPr>
        <w:t>mpresa</w:t>
      </w:r>
    </w:p>
    <w:p w14:paraId="56B73E34" w14:textId="77777777" w:rsidR="00A45D43" w:rsidRPr="002F7B62" w:rsidRDefault="00A45D43" w:rsidP="00A45D43">
      <w:pPr>
        <w:pStyle w:val="Titolo2"/>
        <w:rPr>
          <w:rFonts w:ascii="Times New Roman" w:hAnsi="Times New Roman"/>
          <w:sz w:val="20"/>
        </w:rPr>
      </w:pPr>
      <w:r w:rsidRPr="002F7B62">
        <w:rPr>
          <w:rFonts w:ascii="Times New Roman" w:hAnsi="Times New Roman"/>
          <w:sz w:val="20"/>
        </w:rPr>
        <w:t>Proff. Claudio Frigeni - Marco Ciccozzi</w:t>
      </w:r>
    </w:p>
    <w:p w14:paraId="4F46F966" w14:textId="77777777" w:rsidR="005116B8" w:rsidRPr="002F7B62" w:rsidRDefault="00A2329C">
      <w:pPr>
        <w:pStyle w:val="Titolo1"/>
        <w:rPr>
          <w:rFonts w:ascii="Times New Roman" w:hAnsi="Times New Roman"/>
        </w:rPr>
      </w:pPr>
      <w:r w:rsidRPr="002F7B62">
        <w:rPr>
          <w:rFonts w:ascii="Times New Roman" w:hAnsi="Times New Roman"/>
        </w:rPr>
        <w:t xml:space="preserve">Modulo I - </w:t>
      </w:r>
      <w:r w:rsidR="005C0B34" w:rsidRPr="002F7B62">
        <w:rPr>
          <w:rFonts w:ascii="Times New Roman" w:hAnsi="Times New Roman"/>
        </w:rPr>
        <w:t>D</w:t>
      </w:r>
      <w:r w:rsidR="005116B8" w:rsidRPr="002F7B62">
        <w:rPr>
          <w:rFonts w:ascii="Times New Roman" w:hAnsi="Times New Roman"/>
        </w:rPr>
        <w:t xml:space="preserve">iritto </w:t>
      </w:r>
      <w:r w:rsidRPr="002F7B62">
        <w:rPr>
          <w:rFonts w:ascii="Times New Roman" w:hAnsi="Times New Roman"/>
        </w:rPr>
        <w:t>della crisi di impresa</w:t>
      </w:r>
    </w:p>
    <w:p w14:paraId="70D20A61" w14:textId="77777777" w:rsidR="005116B8" w:rsidRPr="002F7B62" w:rsidRDefault="005116B8">
      <w:pPr>
        <w:pStyle w:val="Titolo2"/>
        <w:rPr>
          <w:rFonts w:ascii="Times New Roman" w:hAnsi="Times New Roman"/>
          <w:sz w:val="20"/>
        </w:rPr>
      </w:pPr>
      <w:r w:rsidRPr="002F7B62">
        <w:rPr>
          <w:rFonts w:ascii="Times New Roman" w:hAnsi="Times New Roman"/>
          <w:sz w:val="20"/>
        </w:rPr>
        <w:t xml:space="preserve">Prof. </w:t>
      </w:r>
      <w:r w:rsidR="00680070" w:rsidRPr="002F7B62">
        <w:rPr>
          <w:rFonts w:ascii="Times New Roman" w:hAnsi="Times New Roman"/>
          <w:sz w:val="20"/>
        </w:rPr>
        <w:t>Claudio Frigeni</w:t>
      </w:r>
    </w:p>
    <w:p w14:paraId="49639E22" w14:textId="77777777" w:rsidR="005116B8" w:rsidRPr="002F7B62" w:rsidRDefault="005116B8">
      <w:pPr>
        <w:spacing w:before="240" w:after="120"/>
        <w:rPr>
          <w:rFonts w:ascii="Times New Roman" w:hAnsi="Times New Roman"/>
          <w:b/>
        </w:rPr>
      </w:pPr>
      <w:r w:rsidRPr="002F7B62">
        <w:rPr>
          <w:rFonts w:ascii="Times New Roman" w:hAnsi="Times New Roman"/>
          <w:b/>
          <w:i/>
        </w:rPr>
        <w:t>OBIETTIV</w:t>
      </w:r>
      <w:r w:rsidR="005006A0" w:rsidRPr="002F7B62">
        <w:rPr>
          <w:rFonts w:ascii="Times New Roman" w:hAnsi="Times New Roman"/>
          <w:b/>
          <w:i/>
        </w:rPr>
        <w:t>I</w:t>
      </w:r>
      <w:r w:rsidRPr="002F7B62">
        <w:rPr>
          <w:rFonts w:ascii="Times New Roman" w:hAnsi="Times New Roman"/>
          <w:b/>
          <w:i/>
        </w:rPr>
        <w:t xml:space="preserve"> DEL CORSO</w:t>
      </w:r>
      <w:r w:rsidR="009A6300" w:rsidRPr="002F7B62">
        <w:rPr>
          <w:rFonts w:ascii="Times New Roman" w:hAnsi="Times New Roman"/>
          <w:b/>
          <w:i/>
        </w:rPr>
        <w:t xml:space="preserve"> E RISULTATI DI APPRENDIMENTO ATTESI</w:t>
      </w:r>
    </w:p>
    <w:p w14:paraId="5671E83B" w14:textId="77777777" w:rsidR="00A2329C" w:rsidRPr="002F7B62" w:rsidRDefault="000027B8">
      <w:pPr>
        <w:rPr>
          <w:rFonts w:ascii="Times New Roman" w:hAnsi="Times New Roman"/>
        </w:rPr>
      </w:pPr>
      <w:r w:rsidRPr="002F7B62">
        <w:rPr>
          <w:rFonts w:ascii="Times New Roman" w:hAnsi="Times New Roman"/>
        </w:rPr>
        <w:t xml:space="preserve">Il </w:t>
      </w:r>
      <w:r w:rsidR="00A2329C" w:rsidRPr="002F7B62">
        <w:rPr>
          <w:rFonts w:ascii="Times New Roman" w:hAnsi="Times New Roman"/>
        </w:rPr>
        <w:t xml:space="preserve">modulo </w:t>
      </w:r>
      <w:r w:rsidRPr="002F7B62">
        <w:rPr>
          <w:rFonts w:ascii="Times New Roman" w:hAnsi="Times New Roman"/>
        </w:rPr>
        <w:t xml:space="preserve">mira a </w:t>
      </w:r>
      <w:r w:rsidR="00A2329C" w:rsidRPr="002F7B62">
        <w:rPr>
          <w:rFonts w:ascii="Times New Roman" w:hAnsi="Times New Roman"/>
        </w:rPr>
        <w:t xml:space="preserve">dare conto </w:t>
      </w:r>
      <w:r w:rsidR="00544B7C" w:rsidRPr="002F7B62">
        <w:rPr>
          <w:rFonts w:ascii="Times New Roman" w:hAnsi="Times New Roman"/>
        </w:rPr>
        <w:t xml:space="preserve">dei temi e delle questioni sollevate dal verificarsi di </w:t>
      </w:r>
      <w:r w:rsidR="00A2329C" w:rsidRPr="002F7B62">
        <w:rPr>
          <w:rFonts w:ascii="Times New Roman" w:hAnsi="Times New Roman"/>
        </w:rPr>
        <w:t xml:space="preserve">una situazione di crisi di impresa e delle soluzioni </w:t>
      </w:r>
      <w:r w:rsidR="00544B7C" w:rsidRPr="002F7B62">
        <w:rPr>
          <w:rFonts w:ascii="Times New Roman" w:hAnsi="Times New Roman"/>
        </w:rPr>
        <w:t xml:space="preserve">e dei relativi istituti giuridici </w:t>
      </w:r>
      <w:r w:rsidR="00A2329C" w:rsidRPr="002F7B62">
        <w:rPr>
          <w:rFonts w:ascii="Times New Roman" w:hAnsi="Times New Roman"/>
        </w:rPr>
        <w:t>predispost</w:t>
      </w:r>
      <w:r w:rsidR="00544B7C" w:rsidRPr="002F7B62">
        <w:rPr>
          <w:rFonts w:ascii="Times New Roman" w:hAnsi="Times New Roman"/>
        </w:rPr>
        <w:t>i</w:t>
      </w:r>
      <w:r w:rsidR="00A2329C" w:rsidRPr="002F7B62">
        <w:rPr>
          <w:rFonts w:ascii="Times New Roman" w:hAnsi="Times New Roman"/>
        </w:rPr>
        <w:t xml:space="preserve"> dall’ordinamento per tutelare gli interessi dei diversi soggetti coinvolti</w:t>
      </w:r>
      <w:r w:rsidR="00544B7C" w:rsidRPr="002F7B62">
        <w:rPr>
          <w:rFonts w:ascii="Times New Roman" w:hAnsi="Times New Roman"/>
        </w:rPr>
        <w:t>.</w:t>
      </w:r>
    </w:p>
    <w:p w14:paraId="672A6659" w14:textId="77777777" w:rsidR="00364F41" w:rsidRPr="002F7B62" w:rsidRDefault="00364F41">
      <w:pPr>
        <w:rPr>
          <w:rFonts w:ascii="Times New Roman" w:hAnsi="Times New Roman"/>
        </w:rPr>
      </w:pPr>
    </w:p>
    <w:p w14:paraId="48DDA914" w14:textId="77777777" w:rsidR="00702760" w:rsidRPr="002F7B62" w:rsidRDefault="00702760">
      <w:pPr>
        <w:rPr>
          <w:rFonts w:ascii="Times New Roman" w:hAnsi="Times New Roman"/>
          <w:b/>
          <w:i/>
        </w:rPr>
      </w:pPr>
      <w:r w:rsidRPr="002F7B62">
        <w:rPr>
          <w:rFonts w:ascii="Times New Roman" w:hAnsi="Times New Roman"/>
          <w:b/>
          <w:i/>
        </w:rPr>
        <w:t>Risultati di apprendimento attesi</w:t>
      </w:r>
    </w:p>
    <w:p w14:paraId="725999D2" w14:textId="72EDFE67" w:rsidR="004C4FBB" w:rsidRPr="002F7B62" w:rsidRDefault="009A6300">
      <w:pPr>
        <w:rPr>
          <w:rFonts w:ascii="Times New Roman" w:hAnsi="Times New Roman"/>
        </w:rPr>
      </w:pPr>
      <w:r w:rsidRPr="1467960F">
        <w:rPr>
          <w:rFonts w:ascii="Times New Roman" w:hAnsi="Times New Roman"/>
        </w:rPr>
        <w:t xml:space="preserve">Al termine del corso lo studente sarà in grado di: i) identificare i principali problemi </w:t>
      </w:r>
      <w:r w:rsidR="004C4FBB" w:rsidRPr="1467960F">
        <w:rPr>
          <w:rFonts w:ascii="Times New Roman" w:hAnsi="Times New Roman"/>
        </w:rPr>
        <w:t xml:space="preserve">giuridici connessi </w:t>
      </w:r>
      <w:r w:rsidR="00544B7C" w:rsidRPr="1467960F">
        <w:rPr>
          <w:rFonts w:ascii="Times New Roman" w:hAnsi="Times New Roman"/>
        </w:rPr>
        <w:t>al verificarsi di una crisi di impresa</w:t>
      </w:r>
      <w:r w:rsidRPr="1467960F">
        <w:rPr>
          <w:rFonts w:ascii="Times New Roman" w:hAnsi="Times New Roman"/>
        </w:rPr>
        <w:t xml:space="preserve">; ii) </w:t>
      </w:r>
      <w:r w:rsidR="00544B7C" w:rsidRPr="1467960F">
        <w:rPr>
          <w:rFonts w:ascii="Times New Roman" w:hAnsi="Times New Roman"/>
        </w:rPr>
        <w:t xml:space="preserve">conoscere </w:t>
      </w:r>
      <w:r w:rsidR="005006A0" w:rsidRPr="1467960F">
        <w:rPr>
          <w:rFonts w:ascii="Times New Roman" w:hAnsi="Times New Roman"/>
        </w:rPr>
        <w:t xml:space="preserve">le </w:t>
      </w:r>
      <w:r w:rsidR="00544B7C" w:rsidRPr="1467960F">
        <w:rPr>
          <w:rFonts w:ascii="Times New Roman" w:hAnsi="Times New Roman"/>
        </w:rPr>
        <w:t xml:space="preserve">regole </w:t>
      </w:r>
      <w:r w:rsidR="005006A0" w:rsidRPr="1467960F">
        <w:rPr>
          <w:rFonts w:ascii="Times New Roman" w:hAnsi="Times New Roman"/>
        </w:rPr>
        <w:t xml:space="preserve">fondamentali </w:t>
      </w:r>
      <w:r w:rsidR="00544B7C" w:rsidRPr="1467960F">
        <w:rPr>
          <w:rFonts w:ascii="Times New Roman" w:hAnsi="Times New Roman"/>
        </w:rPr>
        <w:t>degli strumenti prevenzione della crisi di impresa</w:t>
      </w:r>
      <w:r w:rsidRPr="1467960F">
        <w:rPr>
          <w:rFonts w:ascii="Times New Roman" w:hAnsi="Times New Roman"/>
        </w:rPr>
        <w:t xml:space="preserve">; iii) conoscere </w:t>
      </w:r>
      <w:r w:rsidR="00547FE9" w:rsidRPr="1467960F">
        <w:rPr>
          <w:rFonts w:ascii="Times New Roman" w:hAnsi="Times New Roman"/>
        </w:rPr>
        <w:t xml:space="preserve">gli </w:t>
      </w:r>
      <w:r w:rsidR="00544B7C" w:rsidRPr="1467960F">
        <w:rPr>
          <w:rFonts w:ascii="Times New Roman" w:hAnsi="Times New Roman"/>
        </w:rPr>
        <w:t xml:space="preserve">strumenti di regolazione concordata della crisi e i risultati che </w:t>
      </w:r>
      <w:r w:rsidR="737D0AC7" w:rsidRPr="1467960F">
        <w:rPr>
          <w:rFonts w:ascii="Times New Roman" w:hAnsi="Times New Roman"/>
        </w:rPr>
        <w:t xml:space="preserve">essi </w:t>
      </w:r>
      <w:r w:rsidR="00544B7C" w:rsidRPr="1467960F">
        <w:rPr>
          <w:rFonts w:ascii="Times New Roman" w:hAnsi="Times New Roman"/>
        </w:rPr>
        <w:t>consentono di ottenere; iv) conoscere le regole fondamentali della liquidazione giudiziale</w:t>
      </w:r>
      <w:r w:rsidR="005006A0" w:rsidRPr="1467960F">
        <w:rPr>
          <w:rFonts w:ascii="Times New Roman" w:hAnsi="Times New Roman"/>
        </w:rPr>
        <w:t xml:space="preserve"> dell’impresa in crisi</w:t>
      </w:r>
      <w:r w:rsidR="004C4FBB" w:rsidRPr="1467960F">
        <w:rPr>
          <w:rFonts w:ascii="Times New Roman" w:hAnsi="Times New Roman"/>
        </w:rPr>
        <w:t>.</w:t>
      </w:r>
    </w:p>
    <w:p w14:paraId="17C66D6F" w14:textId="77777777" w:rsidR="005116B8" w:rsidRPr="002F7B62" w:rsidRDefault="005116B8">
      <w:pPr>
        <w:spacing w:before="240" w:after="120"/>
        <w:rPr>
          <w:rFonts w:ascii="Times New Roman" w:hAnsi="Times New Roman"/>
          <w:b/>
        </w:rPr>
      </w:pPr>
      <w:r w:rsidRPr="002F7B62">
        <w:rPr>
          <w:rFonts w:ascii="Times New Roman" w:hAnsi="Times New Roman"/>
          <w:b/>
          <w:i/>
        </w:rPr>
        <w:t>PROGRAMMA DEL CORSO</w:t>
      </w:r>
      <w:r w:rsidR="00DC3C3F" w:rsidRPr="002F7B62">
        <w:rPr>
          <w:rFonts w:ascii="Times New Roman" w:hAnsi="Times New Roman"/>
          <w:b/>
          <w:i/>
        </w:rPr>
        <w:t xml:space="preserve"> </w:t>
      </w:r>
    </w:p>
    <w:p w14:paraId="35C1C635" w14:textId="77777777" w:rsidR="00A2329C" w:rsidRPr="002F7B62" w:rsidRDefault="005006A0" w:rsidP="00547FE9">
      <w:pPr>
        <w:spacing w:before="240" w:after="120" w:line="220" w:lineRule="exact"/>
        <w:rPr>
          <w:rFonts w:ascii="Times New Roman" w:hAnsi="Times New Roman"/>
        </w:rPr>
      </w:pPr>
      <w:r w:rsidRPr="002F7B62">
        <w:rPr>
          <w:rFonts w:ascii="Times New Roman" w:hAnsi="Times New Roman"/>
        </w:rPr>
        <w:t xml:space="preserve">Nel corso </w:t>
      </w:r>
      <w:r w:rsidR="00A2329C" w:rsidRPr="002F7B62">
        <w:rPr>
          <w:rFonts w:ascii="Times New Roman" w:hAnsi="Times New Roman"/>
        </w:rPr>
        <w:t xml:space="preserve">verranno esaminate </w:t>
      </w:r>
      <w:r w:rsidR="00547FE9" w:rsidRPr="002F7B62">
        <w:rPr>
          <w:rFonts w:ascii="Times New Roman" w:hAnsi="Times New Roman"/>
        </w:rPr>
        <w:t xml:space="preserve">i principi in base ai quali viene articolata la disciplina della crisi di impresa e tutelati gli interessi dei diversi soggetti coinvolti, tenendo conto della normativa vigente e delle prospettive di evoluzione connesse alla prossima entrata in vigore del </w:t>
      </w:r>
      <w:r w:rsidR="00A2329C" w:rsidRPr="002F7B62">
        <w:rPr>
          <w:rFonts w:ascii="Times New Roman" w:hAnsi="Times New Roman"/>
        </w:rPr>
        <w:t xml:space="preserve">Codice della crisi </w:t>
      </w:r>
      <w:r w:rsidRPr="002F7B62">
        <w:rPr>
          <w:rFonts w:ascii="Times New Roman" w:hAnsi="Times New Roman"/>
        </w:rPr>
        <w:t>(d.lgs. n. 14/2019)</w:t>
      </w:r>
      <w:r w:rsidR="00547FE9" w:rsidRPr="002F7B62">
        <w:rPr>
          <w:rFonts w:ascii="Times New Roman" w:hAnsi="Times New Roman"/>
        </w:rPr>
        <w:t>.</w:t>
      </w:r>
      <w:r w:rsidRPr="002F7B62">
        <w:rPr>
          <w:rFonts w:ascii="Times New Roman" w:hAnsi="Times New Roman"/>
        </w:rPr>
        <w:t xml:space="preserve"> </w:t>
      </w:r>
      <w:r w:rsidR="006C3AAF" w:rsidRPr="002F7B62">
        <w:rPr>
          <w:rFonts w:ascii="Times New Roman" w:hAnsi="Times New Roman"/>
        </w:rPr>
        <w:t xml:space="preserve">In primo luogo, </w:t>
      </w:r>
      <w:r w:rsidRPr="002F7B62">
        <w:rPr>
          <w:rFonts w:ascii="Times New Roman" w:hAnsi="Times New Roman"/>
        </w:rPr>
        <w:t xml:space="preserve">verranno esaminati </w:t>
      </w:r>
      <w:r w:rsidR="00547FE9" w:rsidRPr="002F7B62">
        <w:rPr>
          <w:rFonts w:ascii="Times New Roman" w:hAnsi="Times New Roman"/>
        </w:rPr>
        <w:t>i presupposti per l’assoggettamento alla speciale disciplina della crisi di impresa e gli obblighi organizzativi connessi alla esigenza di tempestiva rilevazione della crisi, dando conto della prevista disciplina in tema di misure di allerta e composizione assistita della crisi.</w:t>
      </w:r>
      <w:r w:rsidR="006C3AAF" w:rsidRPr="002F7B62">
        <w:rPr>
          <w:rFonts w:ascii="Times New Roman" w:hAnsi="Times New Roman"/>
        </w:rPr>
        <w:t xml:space="preserve"> In secondo luogo, si darà conto dell’impianto complessivo della disciplina prevista </w:t>
      </w:r>
      <w:r w:rsidR="00547FE9" w:rsidRPr="002F7B62">
        <w:rPr>
          <w:rFonts w:ascii="Times New Roman" w:hAnsi="Times New Roman"/>
        </w:rPr>
        <w:t xml:space="preserve">al </w:t>
      </w:r>
      <w:r w:rsidR="006C3AAF" w:rsidRPr="002F7B62">
        <w:rPr>
          <w:rFonts w:ascii="Times New Roman" w:hAnsi="Times New Roman"/>
        </w:rPr>
        <w:t xml:space="preserve">verificarsi di una situazione di crisi dando conto </w:t>
      </w:r>
      <w:r w:rsidR="00547FE9" w:rsidRPr="002F7B62">
        <w:rPr>
          <w:rFonts w:ascii="Times New Roman" w:hAnsi="Times New Roman"/>
        </w:rPr>
        <w:t>dei principi attorno ai quali ruotano le procedure concorsuali giudiziali e gli istituti che sono stati elaborati nell’ambito delle soluzioni alternative di regolazione della crisi</w:t>
      </w:r>
      <w:r w:rsidR="00E25BAC">
        <w:rPr>
          <w:rFonts w:ascii="Times New Roman" w:hAnsi="Times New Roman"/>
        </w:rPr>
        <w:t xml:space="preserve"> (protezione dai creditori, esonero dalla revocatoria fallimentare, sostegno finanziario e prededuzione, estensione degli accordi ai non aderenti, soluzioni concordatarie)</w:t>
      </w:r>
      <w:r w:rsidR="00547FE9" w:rsidRPr="002F7B62">
        <w:rPr>
          <w:rFonts w:ascii="Times New Roman" w:hAnsi="Times New Roman"/>
        </w:rPr>
        <w:t>. I</w:t>
      </w:r>
      <w:r w:rsidR="006C3AAF" w:rsidRPr="002F7B62">
        <w:rPr>
          <w:rFonts w:ascii="Times New Roman" w:hAnsi="Times New Roman"/>
        </w:rPr>
        <w:t>n questo quadro verranno esaminati presupposti, caratteristiche ed effetti dei seguenti istituti: piani attestati di risanamento, accordi di ristrutturazione dei debiti, concordato preventivo.</w:t>
      </w:r>
    </w:p>
    <w:p w14:paraId="4AAF8575" w14:textId="77777777" w:rsidR="005116B8" w:rsidRPr="002F7B62" w:rsidRDefault="005116B8" w:rsidP="4E7515F5">
      <w:pPr>
        <w:spacing w:before="240" w:after="120" w:line="220" w:lineRule="exact"/>
        <w:rPr>
          <w:rFonts w:ascii="Times New Roman" w:hAnsi="Times New Roman"/>
          <w:b/>
          <w:bCs/>
          <w:i/>
          <w:iCs/>
        </w:rPr>
      </w:pPr>
      <w:r w:rsidRPr="4E7515F5">
        <w:rPr>
          <w:rFonts w:ascii="Times New Roman" w:hAnsi="Times New Roman"/>
          <w:b/>
          <w:bCs/>
          <w:i/>
          <w:iCs/>
        </w:rPr>
        <w:t>DIDATTICA DEL CORSO</w:t>
      </w:r>
    </w:p>
    <w:p w14:paraId="79182EE0" w14:textId="305DD231" w:rsidR="005D0AEC" w:rsidRPr="002F7B62" w:rsidRDefault="005D0AEC" w:rsidP="004C4FBB">
      <w:pPr>
        <w:rPr>
          <w:rFonts w:ascii="Times New Roman" w:hAnsi="Times New Roman"/>
        </w:rPr>
      </w:pPr>
      <w:r w:rsidRPr="1467960F">
        <w:rPr>
          <w:rFonts w:ascii="Times New Roman" w:hAnsi="Times New Roman"/>
        </w:rPr>
        <w:lastRenderedPageBreak/>
        <w:t xml:space="preserve">Il corso si articola </w:t>
      </w:r>
      <w:r w:rsidR="20A9329E" w:rsidRPr="1467960F">
        <w:rPr>
          <w:rFonts w:ascii="Times New Roman" w:hAnsi="Times New Roman"/>
        </w:rPr>
        <w:t xml:space="preserve">in </w:t>
      </w:r>
      <w:r w:rsidRPr="1467960F">
        <w:rPr>
          <w:rFonts w:ascii="Times New Roman" w:hAnsi="Times New Roman"/>
        </w:rPr>
        <w:t>lezioni frontali in aula di taglio prevalentemente seminariale</w:t>
      </w:r>
      <w:r w:rsidR="275997EC" w:rsidRPr="1467960F">
        <w:rPr>
          <w:rFonts w:ascii="Times New Roman" w:hAnsi="Times New Roman"/>
        </w:rPr>
        <w:t>,</w:t>
      </w:r>
      <w:r w:rsidRPr="1467960F">
        <w:rPr>
          <w:rFonts w:ascii="Times New Roman" w:hAnsi="Times New Roman"/>
        </w:rPr>
        <w:t xml:space="preserve"> che presuppongono la conoscenza delle parti del manuale di volta in volta indicate </w:t>
      </w:r>
      <w:r w:rsidR="000027B8" w:rsidRPr="1467960F">
        <w:rPr>
          <w:rFonts w:ascii="Times New Roman" w:hAnsi="Times New Roman"/>
        </w:rPr>
        <w:t>sul</w:t>
      </w:r>
      <w:r w:rsidRPr="1467960F">
        <w:rPr>
          <w:rFonts w:ascii="Times New Roman" w:hAnsi="Times New Roman"/>
        </w:rPr>
        <w:t xml:space="preserve">la piattaforma Blackboard. </w:t>
      </w:r>
      <w:r w:rsidR="006C3D87" w:rsidRPr="1467960F">
        <w:rPr>
          <w:rFonts w:ascii="Times New Roman" w:hAnsi="Times New Roman"/>
        </w:rPr>
        <w:t>T</w:t>
      </w:r>
      <w:r w:rsidRPr="1467960F">
        <w:rPr>
          <w:rFonts w:ascii="Times New Roman" w:hAnsi="Times New Roman"/>
        </w:rPr>
        <w:t>utti gli studenti sono invitati ad acquisire le competenze di base per l’utiliz</w:t>
      </w:r>
      <w:r w:rsidR="004C4FBB" w:rsidRPr="1467960F">
        <w:rPr>
          <w:rFonts w:ascii="Times New Roman" w:hAnsi="Times New Roman"/>
        </w:rPr>
        <w:t>zo della piattaforma Blackboard.</w:t>
      </w:r>
    </w:p>
    <w:p w14:paraId="030C59BB" w14:textId="77777777" w:rsidR="005116B8" w:rsidRPr="002F7B62" w:rsidRDefault="005116B8">
      <w:pPr>
        <w:spacing w:before="240" w:after="120" w:line="220" w:lineRule="exact"/>
        <w:rPr>
          <w:rFonts w:ascii="Times New Roman" w:hAnsi="Times New Roman"/>
          <w:b/>
          <w:i/>
        </w:rPr>
      </w:pPr>
      <w:r w:rsidRPr="002F7B62">
        <w:rPr>
          <w:rFonts w:ascii="Times New Roman" w:hAnsi="Times New Roman"/>
          <w:b/>
          <w:i/>
        </w:rPr>
        <w:t xml:space="preserve">METODO </w:t>
      </w:r>
      <w:r w:rsidR="009A6300" w:rsidRPr="002F7B62">
        <w:rPr>
          <w:rFonts w:ascii="Times New Roman" w:hAnsi="Times New Roman"/>
          <w:b/>
          <w:i/>
        </w:rPr>
        <w:t xml:space="preserve">E CRITERI </w:t>
      </w:r>
      <w:r w:rsidRPr="002F7B62">
        <w:rPr>
          <w:rFonts w:ascii="Times New Roman" w:hAnsi="Times New Roman"/>
          <w:b/>
          <w:i/>
        </w:rPr>
        <w:t>DI VALUTAZIONE</w:t>
      </w:r>
    </w:p>
    <w:p w14:paraId="2763913F" w14:textId="77777777" w:rsidR="00E6428C" w:rsidRPr="002F7B62" w:rsidRDefault="004C4FBB" w:rsidP="004C4FBB">
      <w:pPr>
        <w:rPr>
          <w:rFonts w:ascii="Times New Roman" w:hAnsi="Times New Roman"/>
        </w:rPr>
      </w:pPr>
      <w:r w:rsidRPr="002F7B62">
        <w:rPr>
          <w:rFonts w:ascii="Times New Roman" w:hAnsi="Times New Roman"/>
        </w:rPr>
        <w:t xml:space="preserve">La valutazione avviene tramite </w:t>
      </w:r>
      <w:r w:rsidR="00E6428C" w:rsidRPr="002F7B62">
        <w:rPr>
          <w:rFonts w:ascii="Times New Roman" w:hAnsi="Times New Roman"/>
        </w:rPr>
        <w:t>prova scritta</w:t>
      </w:r>
      <w:r w:rsidRPr="002F7B62">
        <w:rPr>
          <w:rFonts w:ascii="Times New Roman" w:hAnsi="Times New Roman"/>
        </w:rPr>
        <w:t xml:space="preserve">. </w:t>
      </w:r>
      <w:r w:rsidR="00740EEC" w:rsidRPr="002F7B62">
        <w:rPr>
          <w:rFonts w:ascii="Times New Roman" w:hAnsi="Times New Roman"/>
        </w:rPr>
        <w:t xml:space="preserve">Ai fini della valutazione concorreranno la pertinenza delle risposte, l’uso appropriato della terminologia giuridica, la strutturazione argomentata e coerente del discorso, </w:t>
      </w:r>
      <w:r w:rsidR="00E6428C" w:rsidRPr="002F7B62">
        <w:rPr>
          <w:rFonts w:ascii="Times New Roman" w:hAnsi="Times New Roman"/>
        </w:rPr>
        <w:t xml:space="preserve">la capacità di strutturare e organizzare la trattazione relativa a un istituto giuridico, </w:t>
      </w:r>
      <w:r w:rsidR="00740EEC" w:rsidRPr="002F7B62">
        <w:rPr>
          <w:rFonts w:ascii="Times New Roman" w:hAnsi="Times New Roman"/>
        </w:rPr>
        <w:t>la capacità di applicare le regole per fornire soluzioni a fattispecie concrete.</w:t>
      </w:r>
      <w:r w:rsidR="00E6428C" w:rsidRPr="002F7B62">
        <w:rPr>
          <w:rFonts w:ascii="Times New Roman" w:hAnsi="Times New Roman"/>
        </w:rPr>
        <w:t xml:space="preserve"> </w:t>
      </w:r>
    </w:p>
    <w:p w14:paraId="01B38E6C" w14:textId="77777777" w:rsidR="004C4FBB" w:rsidRPr="002F7B62" w:rsidRDefault="004C4FBB" w:rsidP="004C4FBB">
      <w:pPr>
        <w:rPr>
          <w:rFonts w:ascii="Times New Roman" w:hAnsi="Times New Roman"/>
        </w:rPr>
      </w:pPr>
      <w:r w:rsidRPr="1467960F">
        <w:rPr>
          <w:rFonts w:ascii="Times New Roman" w:hAnsi="Times New Roman"/>
        </w:rPr>
        <w:t xml:space="preserve">La prova </w:t>
      </w:r>
      <w:r w:rsidR="00E6428C" w:rsidRPr="1467960F">
        <w:rPr>
          <w:rFonts w:ascii="Times New Roman" w:hAnsi="Times New Roman"/>
        </w:rPr>
        <w:t xml:space="preserve">scritta </w:t>
      </w:r>
      <w:r w:rsidRPr="1467960F">
        <w:rPr>
          <w:rFonts w:ascii="Times New Roman" w:hAnsi="Times New Roman"/>
        </w:rPr>
        <w:t xml:space="preserve">consta di </w:t>
      </w:r>
      <w:r w:rsidR="00E6428C" w:rsidRPr="1467960F">
        <w:rPr>
          <w:rFonts w:ascii="Times New Roman" w:hAnsi="Times New Roman"/>
        </w:rPr>
        <w:t xml:space="preserve">5 </w:t>
      </w:r>
      <w:r w:rsidRPr="1467960F">
        <w:rPr>
          <w:rFonts w:ascii="Times New Roman" w:hAnsi="Times New Roman"/>
        </w:rPr>
        <w:t xml:space="preserve">domande </w:t>
      </w:r>
      <w:r w:rsidRPr="006C710D">
        <w:rPr>
          <w:rFonts w:ascii="Times New Roman" w:hAnsi="Times New Roman"/>
          <w:i/>
          <w:iCs/>
        </w:rPr>
        <w:t>multiple choice</w:t>
      </w:r>
      <w:r w:rsidRPr="1467960F">
        <w:rPr>
          <w:rFonts w:ascii="Times New Roman" w:hAnsi="Times New Roman"/>
        </w:rPr>
        <w:t xml:space="preserve"> </w:t>
      </w:r>
      <w:r w:rsidR="00E6428C" w:rsidRPr="1467960F">
        <w:rPr>
          <w:rFonts w:ascii="Times New Roman" w:hAnsi="Times New Roman"/>
        </w:rPr>
        <w:t xml:space="preserve">(con votazione che pesa in misura pari a 1/4 sul voto complessivo) </w:t>
      </w:r>
      <w:r w:rsidRPr="1467960F">
        <w:rPr>
          <w:rFonts w:ascii="Times New Roman" w:hAnsi="Times New Roman"/>
        </w:rPr>
        <w:t>e 3 domande aperte</w:t>
      </w:r>
      <w:r w:rsidR="00E6428C" w:rsidRPr="1467960F">
        <w:rPr>
          <w:rFonts w:ascii="Times New Roman" w:hAnsi="Times New Roman"/>
        </w:rPr>
        <w:t xml:space="preserve"> (con votazione che pesa in misura pari a 3/4 sul voto complessivo)</w:t>
      </w:r>
      <w:r w:rsidR="00350CA2" w:rsidRPr="1467960F">
        <w:rPr>
          <w:rFonts w:ascii="Times New Roman" w:hAnsi="Times New Roman"/>
        </w:rPr>
        <w:t>.</w:t>
      </w:r>
    </w:p>
    <w:p w14:paraId="5C8FF61A" w14:textId="77777777" w:rsidR="009A6300" w:rsidRPr="002F7B62" w:rsidRDefault="009A6300" w:rsidP="009A6300">
      <w:pPr>
        <w:keepNext/>
        <w:spacing w:before="240" w:after="120"/>
        <w:rPr>
          <w:rFonts w:ascii="Times New Roman" w:hAnsi="Times New Roman"/>
          <w:b/>
        </w:rPr>
      </w:pPr>
      <w:r w:rsidRPr="002F7B62">
        <w:rPr>
          <w:rFonts w:ascii="Times New Roman" w:hAnsi="Times New Roman"/>
          <w:b/>
          <w:i/>
        </w:rPr>
        <w:t>BIBLIOGRAFIA</w:t>
      </w:r>
    </w:p>
    <w:p w14:paraId="6204F0F6" w14:textId="77777777" w:rsidR="006C3AAF" w:rsidRPr="002F7B62" w:rsidRDefault="006C3AAF" w:rsidP="006C3AAF">
      <w:pPr>
        <w:rPr>
          <w:rFonts w:ascii="Times New Roman" w:eastAsia="Calibri" w:hAnsi="Times New Roman"/>
          <w:lang w:eastAsia="en-US"/>
        </w:rPr>
      </w:pPr>
      <w:r w:rsidRPr="002F7B62">
        <w:rPr>
          <w:rFonts w:ascii="Times New Roman" w:eastAsia="Calibri" w:hAnsi="Times New Roman"/>
          <w:lang w:eastAsia="en-US"/>
        </w:rPr>
        <w:t>La bibliografia di riferimento del corso verrà messa a disposizione in corrispondenza dell’inizio delle lezioni.</w:t>
      </w:r>
    </w:p>
    <w:p w14:paraId="28CCBE78" w14:textId="77777777" w:rsidR="005116B8" w:rsidRPr="002F7B62" w:rsidRDefault="005116B8">
      <w:pPr>
        <w:spacing w:before="240" w:after="120"/>
        <w:rPr>
          <w:rFonts w:ascii="Times New Roman" w:hAnsi="Times New Roman"/>
          <w:b/>
          <w:i/>
        </w:rPr>
      </w:pPr>
      <w:r w:rsidRPr="002F7B62">
        <w:rPr>
          <w:rFonts w:ascii="Times New Roman" w:hAnsi="Times New Roman"/>
          <w:b/>
          <w:i/>
        </w:rPr>
        <w:t>AVVERTENZE</w:t>
      </w:r>
      <w:r w:rsidR="009A6300" w:rsidRPr="002F7B62">
        <w:rPr>
          <w:rFonts w:ascii="Times New Roman" w:hAnsi="Times New Roman"/>
          <w:b/>
          <w:i/>
        </w:rPr>
        <w:t xml:space="preserve"> E PREREQUISITI</w:t>
      </w:r>
    </w:p>
    <w:p w14:paraId="77BA2840" w14:textId="77777777" w:rsidR="002D3EBF" w:rsidRPr="006C710D" w:rsidRDefault="00350CA2" w:rsidP="1467960F">
      <w:pPr>
        <w:pStyle w:val="Testo2"/>
        <w:ind w:firstLine="0"/>
        <w:rPr>
          <w:rFonts w:ascii="Times New Roman" w:hAnsi="Times New Roman"/>
          <w:sz w:val="22"/>
          <w:szCs w:val="22"/>
        </w:rPr>
      </w:pPr>
      <w:r w:rsidRPr="006C710D">
        <w:rPr>
          <w:rFonts w:ascii="Times New Roman" w:hAnsi="Times New Roman"/>
          <w:sz w:val="22"/>
          <w:szCs w:val="22"/>
        </w:rPr>
        <w:t>Lo studente deve possedere le conoscenze di base relative agli istituti di diritto privato</w:t>
      </w:r>
      <w:r w:rsidR="006C3AAF" w:rsidRPr="006C710D">
        <w:rPr>
          <w:rFonts w:ascii="Times New Roman" w:hAnsi="Times New Roman"/>
          <w:sz w:val="22"/>
          <w:szCs w:val="22"/>
        </w:rPr>
        <w:t xml:space="preserve"> e di diritto commerciale</w:t>
      </w:r>
      <w:r w:rsidR="002D3EBF" w:rsidRPr="006C710D">
        <w:rPr>
          <w:rFonts w:ascii="Times New Roman" w:hAnsi="Times New Roman"/>
          <w:sz w:val="22"/>
          <w:szCs w:val="22"/>
        </w:rPr>
        <w:t>.</w:t>
      </w:r>
    </w:p>
    <w:p w14:paraId="0A37501D" w14:textId="77777777" w:rsidR="002F7B62" w:rsidRPr="006C710D" w:rsidRDefault="002F7B62" w:rsidP="1467960F">
      <w:pPr>
        <w:pStyle w:val="Testo2"/>
        <w:ind w:firstLine="0"/>
        <w:rPr>
          <w:rFonts w:ascii="Times New Roman" w:hAnsi="Times New Roman"/>
          <w:sz w:val="22"/>
          <w:szCs w:val="22"/>
        </w:rPr>
      </w:pPr>
    </w:p>
    <w:p w14:paraId="4E418689" w14:textId="77777777" w:rsidR="002F7B62" w:rsidRPr="006C710D" w:rsidRDefault="002F7B62" w:rsidP="1467960F">
      <w:pPr>
        <w:pStyle w:val="Testo2"/>
        <w:ind w:firstLine="0"/>
        <w:rPr>
          <w:rFonts w:ascii="Times New Roman" w:hAnsi="Times New Roman"/>
          <w:sz w:val="22"/>
          <w:szCs w:val="22"/>
        </w:rPr>
      </w:pPr>
      <w:r w:rsidRPr="006C710D">
        <w:rPr>
          <w:rFonts w:ascii="Times New Roman" w:hAnsi="Times New Roman"/>
          <w:sz w:val="22"/>
          <w:szCs w:val="22"/>
        </w:rPr>
        <w:t>Il superamento del primo modulo dell’esame costituisce condizione necessaria per sostenere il secondo modulo.</w:t>
      </w:r>
    </w:p>
    <w:p w14:paraId="5DAB6C7B" w14:textId="77777777" w:rsidR="002D3EBF" w:rsidRPr="006C710D" w:rsidRDefault="002D3EBF" w:rsidP="1467960F">
      <w:pPr>
        <w:pStyle w:val="Testo2"/>
        <w:rPr>
          <w:rFonts w:ascii="Times New Roman" w:hAnsi="Times New Roman"/>
          <w:sz w:val="22"/>
          <w:szCs w:val="22"/>
        </w:rPr>
      </w:pPr>
    </w:p>
    <w:p w14:paraId="32A45865" w14:textId="77777777" w:rsidR="007B35B9" w:rsidRPr="006C710D" w:rsidRDefault="007B35B9" w:rsidP="1467960F">
      <w:pPr>
        <w:pStyle w:val="Testo2"/>
        <w:ind w:firstLine="0"/>
        <w:rPr>
          <w:rFonts w:ascii="Times New Roman" w:hAnsi="Times New Roman"/>
          <w:sz w:val="22"/>
          <w:szCs w:val="22"/>
        </w:rPr>
      </w:pPr>
      <w:r w:rsidRPr="006C710D">
        <w:rPr>
          <w:rFonts w:ascii="Times New Roman" w:hAnsi="Times New Roman"/>
          <w:sz w:val="22"/>
          <w:szCs w:val="22"/>
        </w:rPr>
        <w:t xml:space="preserve">Per lo studio della materia è indispensabile la consultazione </w:t>
      </w:r>
      <w:r w:rsidR="006C3AAF" w:rsidRPr="006C710D">
        <w:rPr>
          <w:rFonts w:ascii="Times New Roman" w:hAnsi="Times New Roman"/>
          <w:sz w:val="22"/>
          <w:szCs w:val="22"/>
        </w:rPr>
        <w:t>dei testi normativi aggiornati</w:t>
      </w:r>
      <w:r w:rsidRPr="006C710D">
        <w:rPr>
          <w:rFonts w:ascii="Times New Roman" w:hAnsi="Times New Roman"/>
          <w:sz w:val="22"/>
          <w:szCs w:val="22"/>
        </w:rPr>
        <w:t xml:space="preserve">. Gli studenti sono tenuti a conoscere le eventuali modifiche legislative o regolamentari che dovessero intervenire nel corso dell’anno e che saranno rese note </w:t>
      </w:r>
      <w:r w:rsidR="005C0D59" w:rsidRPr="006C710D">
        <w:rPr>
          <w:rFonts w:ascii="Times New Roman" w:hAnsi="Times New Roman"/>
          <w:sz w:val="22"/>
          <w:szCs w:val="22"/>
        </w:rPr>
        <w:t xml:space="preserve">tramite Blackboard e </w:t>
      </w:r>
      <w:r w:rsidRPr="006C710D">
        <w:rPr>
          <w:rFonts w:ascii="Times New Roman" w:hAnsi="Times New Roman"/>
          <w:sz w:val="22"/>
          <w:szCs w:val="22"/>
        </w:rPr>
        <w:t>mediante avviso pubblicato sulla pagina web personale del docente (</w:t>
      </w:r>
      <w:hyperlink r:id="rId10">
        <w:r w:rsidRPr="006C710D">
          <w:rPr>
            <w:rStyle w:val="Collegamentoipertestuale"/>
            <w:rFonts w:ascii="Times New Roman" w:hAnsi="Times New Roman"/>
            <w:sz w:val="22"/>
            <w:szCs w:val="22"/>
          </w:rPr>
          <w:t>http://docenti.unicatt.it/ita/claudio_frigeni/</w:t>
        </w:r>
      </w:hyperlink>
      <w:r w:rsidRPr="006C710D">
        <w:rPr>
          <w:rFonts w:ascii="Times New Roman" w:hAnsi="Times New Roman"/>
          <w:sz w:val="22"/>
          <w:szCs w:val="22"/>
        </w:rPr>
        <w:t>).</w:t>
      </w:r>
    </w:p>
    <w:p w14:paraId="4C02702E" w14:textId="77777777" w:rsidR="00192ACC" w:rsidRPr="002F7B62" w:rsidRDefault="00350CA2" w:rsidP="00192ACC">
      <w:pPr>
        <w:spacing w:before="240" w:after="120" w:line="220" w:lineRule="exact"/>
        <w:rPr>
          <w:rFonts w:ascii="Times New Roman" w:eastAsia="MS Mincho" w:hAnsi="Times New Roman"/>
          <w:b/>
          <w:i/>
        </w:rPr>
      </w:pPr>
      <w:r w:rsidRPr="002F7B62">
        <w:rPr>
          <w:rFonts w:ascii="Times New Roman" w:eastAsia="MS Mincho" w:hAnsi="Times New Roman"/>
          <w:b/>
          <w:i/>
        </w:rPr>
        <w:t>O</w:t>
      </w:r>
      <w:r w:rsidR="00192ACC" w:rsidRPr="002F7B62">
        <w:rPr>
          <w:rFonts w:ascii="Times New Roman" w:eastAsia="MS Mincho" w:hAnsi="Times New Roman"/>
          <w:b/>
          <w:i/>
        </w:rPr>
        <w:t>RARIO E LUOGO DI RICEVIMENTO DEGLI STUDENTI</w:t>
      </w:r>
    </w:p>
    <w:p w14:paraId="64BD6647" w14:textId="77777777" w:rsidR="00192ACC" w:rsidRPr="002F7B62" w:rsidRDefault="00192ACC" w:rsidP="006C3AAF">
      <w:pPr>
        <w:tabs>
          <w:tab w:val="clear" w:pos="284"/>
        </w:tabs>
        <w:spacing w:line="220" w:lineRule="exact"/>
        <w:rPr>
          <w:rFonts w:ascii="Times New Roman" w:hAnsi="Times New Roman"/>
          <w:noProof/>
        </w:rPr>
      </w:pPr>
      <w:r w:rsidRPr="002F7B62">
        <w:rPr>
          <w:rFonts w:ascii="Times New Roman" w:hAnsi="Times New Roman"/>
          <w:noProof/>
        </w:rPr>
        <w:t xml:space="preserve">Gli orari di ricevimento sono disponibili on line nella pagina personale del docente, consultabile al sito </w:t>
      </w:r>
      <w:hyperlink r:id="rId11" w:history="1">
        <w:r w:rsidR="00350CA2" w:rsidRPr="002F7B62">
          <w:rPr>
            <w:rStyle w:val="Collegamentoipertestuale"/>
            <w:rFonts w:ascii="Times New Roman" w:hAnsi="Times New Roman"/>
            <w:noProof/>
          </w:rPr>
          <w:t>http://docenti.unicatt.it/ita/claudio_frigeni</w:t>
        </w:r>
      </w:hyperlink>
    </w:p>
    <w:p w14:paraId="02EB378F" w14:textId="77777777" w:rsidR="00350CA2" w:rsidRPr="002F7B62" w:rsidRDefault="00350CA2" w:rsidP="00192ACC">
      <w:pPr>
        <w:tabs>
          <w:tab w:val="clear" w:pos="284"/>
        </w:tabs>
        <w:spacing w:line="220" w:lineRule="exact"/>
        <w:ind w:firstLine="284"/>
        <w:rPr>
          <w:rFonts w:ascii="Times New Roman" w:hAnsi="Times New Roman"/>
          <w:noProof/>
        </w:rPr>
      </w:pPr>
    </w:p>
    <w:p w14:paraId="6A05A809" w14:textId="77777777" w:rsidR="00192ACC" w:rsidRPr="002F7B62" w:rsidRDefault="00192ACC" w:rsidP="007B35B9">
      <w:pPr>
        <w:pStyle w:val="Testo2"/>
        <w:rPr>
          <w:rFonts w:ascii="Times New Roman" w:hAnsi="Times New Roman"/>
          <w:sz w:val="20"/>
          <w:u w:val="single"/>
        </w:rPr>
      </w:pPr>
    </w:p>
    <w:p w14:paraId="5A39BBE3" w14:textId="77777777" w:rsidR="00B64D70" w:rsidRPr="002F7B62" w:rsidRDefault="00B64D70" w:rsidP="007B35B9">
      <w:pPr>
        <w:pStyle w:val="Testo2"/>
        <w:rPr>
          <w:rFonts w:ascii="Times New Roman" w:hAnsi="Times New Roman"/>
          <w:sz w:val="20"/>
          <w:u w:val="single"/>
        </w:rPr>
      </w:pPr>
    </w:p>
    <w:p w14:paraId="41C8F396" w14:textId="77777777" w:rsidR="00B64D70" w:rsidRPr="002F7B62" w:rsidRDefault="00B64D70" w:rsidP="007B35B9">
      <w:pPr>
        <w:pStyle w:val="Testo2"/>
        <w:rPr>
          <w:rFonts w:ascii="Times New Roman" w:hAnsi="Times New Roman"/>
          <w:sz w:val="20"/>
          <w:u w:val="single"/>
        </w:rPr>
      </w:pPr>
    </w:p>
    <w:p w14:paraId="72A3D3EC" w14:textId="77777777" w:rsidR="00B64D70" w:rsidRPr="002F7B62" w:rsidRDefault="00B64D70" w:rsidP="007B35B9">
      <w:pPr>
        <w:pStyle w:val="Testo2"/>
        <w:rPr>
          <w:rFonts w:ascii="Times New Roman" w:hAnsi="Times New Roman"/>
          <w:sz w:val="20"/>
          <w:u w:val="single"/>
        </w:rPr>
      </w:pPr>
    </w:p>
    <w:p w14:paraId="0D0B940D" w14:textId="77777777" w:rsidR="00B64D70" w:rsidRPr="002F7B62" w:rsidRDefault="00B64D70" w:rsidP="007B35B9">
      <w:pPr>
        <w:pStyle w:val="Testo2"/>
        <w:rPr>
          <w:rFonts w:ascii="Times New Roman" w:hAnsi="Times New Roman"/>
          <w:sz w:val="20"/>
          <w:u w:val="single"/>
        </w:rPr>
      </w:pPr>
    </w:p>
    <w:p w14:paraId="0E27B00A" w14:textId="77777777" w:rsidR="00B64D70" w:rsidRPr="002F7B62" w:rsidRDefault="00B64D70" w:rsidP="007B35B9">
      <w:pPr>
        <w:pStyle w:val="Testo2"/>
        <w:rPr>
          <w:rFonts w:ascii="Times New Roman" w:hAnsi="Times New Roman"/>
          <w:sz w:val="20"/>
          <w:u w:val="single"/>
        </w:rPr>
      </w:pPr>
    </w:p>
    <w:p w14:paraId="60061E4C" w14:textId="77777777" w:rsidR="00B64D70" w:rsidRPr="002F7B62" w:rsidRDefault="00B64D70" w:rsidP="007B35B9">
      <w:pPr>
        <w:pStyle w:val="Testo2"/>
        <w:rPr>
          <w:rFonts w:ascii="Times New Roman" w:hAnsi="Times New Roman"/>
          <w:sz w:val="20"/>
          <w:u w:val="single"/>
        </w:rPr>
      </w:pPr>
    </w:p>
    <w:p w14:paraId="25719285" w14:textId="77777777" w:rsidR="005006A0" w:rsidRPr="002F7B62" w:rsidRDefault="005006A0" w:rsidP="005006A0">
      <w:pPr>
        <w:pStyle w:val="Titolo1"/>
        <w:rPr>
          <w:rFonts w:ascii="Times New Roman" w:hAnsi="Times New Roman"/>
        </w:rPr>
      </w:pPr>
      <w:r w:rsidRPr="002F7B62">
        <w:rPr>
          <w:rFonts w:ascii="Times New Roman" w:hAnsi="Times New Roman"/>
        </w:rPr>
        <w:t>Modulo II – Economia della crisi di impresa</w:t>
      </w:r>
    </w:p>
    <w:p w14:paraId="2634C6B9" w14:textId="77777777" w:rsidR="005006A0" w:rsidRPr="002F7B62" w:rsidRDefault="005006A0" w:rsidP="005006A0">
      <w:pPr>
        <w:pStyle w:val="Titolo2"/>
        <w:rPr>
          <w:rFonts w:ascii="Times New Roman" w:hAnsi="Times New Roman"/>
          <w:sz w:val="20"/>
        </w:rPr>
      </w:pPr>
      <w:r w:rsidRPr="002F7B62">
        <w:rPr>
          <w:rFonts w:ascii="Times New Roman" w:hAnsi="Times New Roman"/>
          <w:sz w:val="20"/>
        </w:rPr>
        <w:t>Prof. Marco Ciccozzi</w:t>
      </w:r>
    </w:p>
    <w:p w14:paraId="0E412F8D" w14:textId="77777777" w:rsidR="005006A0" w:rsidRPr="002F7B62" w:rsidRDefault="005006A0" w:rsidP="005006A0">
      <w:pPr>
        <w:spacing w:before="240" w:after="120"/>
        <w:rPr>
          <w:rFonts w:ascii="Times New Roman" w:hAnsi="Times New Roman"/>
          <w:b/>
        </w:rPr>
      </w:pPr>
      <w:r w:rsidRPr="002F7B62">
        <w:rPr>
          <w:rFonts w:ascii="Times New Roman" w:hAnsi="Times New Roman"/>
          <w:b/>
          <w:i/>
        </w:rPr>
        <w:t>OBIETTIVI DEL CORSO E RISULTATI DI APPRENDIMENTO ATTESI</w:t>
      </w:r>
    </w:p>
    <w:p w14:paraId="14E88F92" w14:textId="3C793BB1" w:rsidR="005006A0" w:rsidRPr="002F7B62" w:rsidRDefault="005006A0" w:rsidP="00E6428C">
      <w:pPr>
        <w:rPr>
          <w:rFonts w:ascii="Times New Roman" w:hAnsi="Times New Roman"/>
        </w:rPr>
      </w:pPr>
      <w:r w:rsidRPr="1467960F">
        <w:rPr>
          <w:rFonts w:ascii="Times New Roman" w:hAnsi="Times New Roman"/>
        </w:rPr>
        <w:t xml:space="preserve">Il modulo si propone di fornire agli studenti una generale comprensione </w:t>
      </w:r>
      <w:r w:rsidR="00547FE9" w:rsidRPr="1467960F">
        <w:rPr>
          <w:rFonts w:ascii="Times New Roman" w:hAnsi="Times New Roman"/>
        </w:rPr>
        <w:t xml:space="preserve">in merito alle modalità di utilizzo degli strumenti previsti dall’ordinamento per la regolazione della crisi, anche tenuto conto delle previsioni contenute nel </w:t>
      </w:r>
      <w:r w:rsidRPr="1467960F">
        <w:rPr>
          <w:rFonts w:ascii="Times New Roman" w:hAnsi="Times New Roman"/>
        </w:rPr>
        <w:t xml:space="preserve">Codice della Crisi e dell’Insolvenza (CCI) di cui al D.Lgs n 14/2019 </w:t>
      </w:r>
      <w:r w:rsidR="69538AB2" w:rsidRPr="1467960F">
        <w:rPr>
          <w:rFonts w:ascii="Times New Roman" w:hAnsi="Times New Roman"/>
        </w:rPr>
        <w:t xml:space="preserve">che entreranno </w:t>
      </w:r>
      <w:r w:rsidR="00547FE9" w:rsidRPr="1467960F">
        <w:rPr>
          <w:rFonts w:ascii="Times New Roman" w:hAnsi="Times New Roman"/>
        </w:rPr>
        <w:t xml:space="preserve"> in vigore </w:t>
      </w:r>
      <w:r w:rsidR="4962E042" w:rsidRPr="1467960F">
        <w:rPr>
          <w:rFonts w:ascii="Times New Roman" w:hAnsi="Times New Roman"/>
        </w:rPr>
        <w:t xml:space="preserve">prossimamente </w:t>
      </w:r>
      <w:r w:rsidR="00547FE9" w:rsidRPr="1467960F">
        <w:rPr>
          <w:rFonts w:ascii="Times New Roman" w:hAnsi="Times New Roman"/>
        </w:rPr>
        <w:t>. S</w:t>
      </w:r>
      <w:r w:rsidRPr="1467960F">
        <w:rPr>
          <w:rFonts w:ascii="Times New Roman" w:hAnsi="Times New Roman"/>
        </w:rPr>
        <w:t xml:space="preserve">pecifica </w:t>
      </w:r>
      <w:r w:rsidR="00547FE9" w:rsidRPr="1467960F">
        <w:rPr>
          <w:rFonts w:ascii="Times New Roman" w:hAnsi="Times New Roman"/>
        </w:rPr>
        <w:t>attenzione verrà dedicata sia a</w:t>
      </w:r>
      <w:r w:rsidRPr="1467960F">
        <w:rPr>
          <w:rFonts w:ascii="Times New Roman" w:hAnsi="Times New Roman"/>
        </w:rPr>
        <w:t xml:space="preserve">gli indicatori e </w:t>
      </w:r>
      <w:r w:rsidR="002F7B62" w:rsidRPr="1467960F">
        <w:rPr>
          <w:rFonts w:ascii="Times New Roman" w:hAnsi="Times New Roman"/>
        </w:rPr>
        <w:t>al</w:t>
      </w:r>
      <w:r w:rsidRPr="1467960F">
        <w:rPr>
          <w:rFonts w:ascii="Times New Roman" w:hAnsi="Times New Roman"/>
        </w:rPr>
        <w:t>le procedure di allerta della Crisi</w:t>
      </w:r>
      <w:r w:rsidR="49DE9C0A" w:rsidRPr="1467960F">
        <w:rPr>
          <w:rFonts w:ascii="Times New Roman" w:hAnsi="Times New Roman"/>
        </w:rPr>
        <w:t>,</w:t>
      </w:r>
      <w:r w:rsidRPr="1467960F">
        <w:rPr>
          <w:rFonts w:ascii="Times New Roman" w:hAnsi="Times New Roman"/>
        </w:rPr>
        <w:t xml:space="preserve"> sia ai diversi ruoli degli attori della gestione della Crisi (Organi sociali/Advisor/Atte</w:t>
      </w:r>
      <w:r w:rsidR="00547FE9" w:rsidRPr="1467960F">
        <w:rPr>
          <w:rFonts w:ascii="Times New Roman" w:hAnsi="Times New Roman"/>
        </w:rPr>
        <w:t>statori/Commissari/Liquidatori</w:t>
      </w:r>
      <w:r w:rsidRPr="1467960F">
        <w:rPr>
          <w:rFonts w:ascii="Times New Roman" w:hAnsi="Times New Roman"/>
        </w:rPr>
        <w:t>)</w:t>
      </w:r>
      <w:r w:rsidR="237E66D1" w:rsidRPr="1467960F">
        <w:rPr>
          <w:rFonts w:ascii="Times New Roman" w:hAnsi="Times New Roman"/>
        </w:rPr>
        <w:t>,</w:t>
      </w:r>
      <w:r w:rsidRPr="1467960F">
        <w:rPr>
          <w:rFonts w:ascii="Times New Roman" w:hAnsi="Times New Roman"/>
        </w:rPr>
        <w:t xml:space="preserve"> nonché alle </w:t>
      </w:r>
      <w:r w:rsidR="00547FE9" w:rsidRPr="1467960F">
        <w:rPr>
          <w:rFonts w:ascii="Times New Roman" w:hAnsi="Times New Roman"/>
        </w:rPr>
        <w:t>specifiche</w:t>
      </w:r>
      <w:r w:rsidRPr="1467960F">
        <w:rPr>
          <w:rFonts w:ascii="Times New Roman" w:hAnsi="Times New Roman"/>
        </w:rPr>
        <w:t xml:space="preserve"> attività cui sono chiamati gli stessi dal nuovo CCI. Scopo dell’insegnamento è altresì che i partecipanti acquisiscano conoscenze specifiche in tema di predisposizione di Piani di risanamento in relazione ai diversi </w:t>
      </w:r>
      <w:r w:rsidR="00547FE9" w:rsidRPr="1467960F">
        <w:rPr>
          <w:rFonts w:ascii="Times New Roman" w:hAnsi="Times New Roman"/>
        </w:rPr>
        <w:t>istituti</w:t>
      </w:r>
      <w:r w:rsidRPr="1467960F">
        <w:rPr>
          <w:rFonts w:ascii="Times New Roman" w:hAnsi="Times New Roman"/>
        </w:rPr>
        <w:t xml:space="preserve"> previsti dalla norma ed in relazione ai principi che sottendono il rilascio delle “attestazioni” relative ai piani stessi nonché alla gestione dei Piani stessi.</w:t>
      </w:r>
    </w:p>
    <w:p w14:paraId="44EAFD9C" w14:textId="77777777" w:rsidR="005006A0" w:rsidRPr="002F7B62" w:rsidRDefault="005006A0" w:rsidP="005006A0">
      <w:pPr>
        <w:autoSpaceDE w:val="0"/>
        <w:autoSpaceDN w:val="0"/>
        <w:adjustRightInd w:val="0"/>
        <w:ind w:left="567"/>
        <w:rPr>
          <w:rFonts w:ascii="Times New Roman" w:hAnsi="Times New Roman"/>
          <w:b/>
        </w:rPr>
      </w:pPr>
    </w:p>
    <w:p w14:paraId="3FDDD117" w14:textId="77777777" w:rsidR="005006A0" w:rsidRPr="002F7B62" w:rsidRDefault="005006A0" w:rsidP="00E6428C">
      <w:pPr>
        <w:rPr>
          <w:rFonts w:ascii="Times New Roman" w:hAnsi="Times New Roman"/>
          <w:b/>
          <w:i/>
        </w:rPr>
      </w:pPr>
      <w:r w:rsidRPr="002F7B62">
        <w:rPr>
          <w:rFonts w:ascii="Times New Roman" w:hAnsi="Times New Roman"/>
          <w:b/>
          <w:i/>
        </w:rPr>
        <w:t>Risultati di apprendimento attesi.</w:t>
      </w:r>
    </w:p>
    <w:p w14:paraId="3E792EE7" w14:textId="50EE4ECB" w:rsidR="005006A0" w:rsidRPr="002F7B62" w:rsidRDefault="005006A0" w:rsidP="00E6428C">
      <w:pPr>
        <w:rPr>
          <w:rFonts w:ascii="Times New Roman" w:hAnsi="Times New Roman"/>
        </w:rPr>
      </w:pPr>
      <w:r w:rsidRPr="1467960F">
        <w:rPr>
          <w:rFonts w:ascii="Times New Roman" w:hAnsi="Times New Roman"/>
        </w:rPr>
        <w:t xml:space="preserve">Al termine dell'insegnamento, lo studente sarà in grado di individuare ed analizzare i principali indicatori (alert) di una potenziale crisi analizzandone ed </w:t>
      </w:r>
      <w:r w:rsidR="00547FE9" w:rsidRPr="1467960F">
        <w:rPr>
          <w:rFonts w:ascii="Times New Roman" w:hAnsi="Times New Roman"/>
        </w:rPr>
        <w:t>indentificandone</w:t>
      </w:r>
      <w:r w:rsidRPr="1467960F">
        <w:rPr>
          <w:rFonts w:ascii="Times New Roman" w:hAnsi="Times New Roman"/>
        </w:rPr>
        <w:t xml:space="preserve"> le principali cause e di comprendere la necessità di avviare o meno procedure di allerta e segnalazioni specifiche conseguenti. Sarà altresì in grado di formulare la corretta </w:t>
      </w:r>
      <w:r w:rsidR="59B3B1EE" w:rsidRPr="1467960F">
        <w:rPr>
          <w:rFonts w:ascii="Times New Roman" w:hAnsi="Times New Roman"/>
        </w:rPr>
        <w:t xml:space="preserve">predisposizione </w:t>
      </w:r>
      <w:r w:rsidRPr="1467960F">
        <w:rPr>
          <w:rFonts w:ascii="Times New Roman" w:hAnsi="Times New Roman"/>
        </w:rPr>
        <w:t>di un Piano di risanamento distinguendo tra Piano attestato, Piano relativo ad accordi di ristrutturazione e Piano concordatario</w:t>
      </w:r>
      <w:r w:rsidR="49E260CD" w:rsidRPr="1467960F">
        <w:rPr>
          <w:rFonts w:ascii="Times New Roman" w:hAnsi="Times New Roman"/>
        </w:rPr>
        <w:t>,</w:t>
      </w:r>
      <w:r w:rsidRPr="1467960F">
        <w:rPr>
          <w:rFonts w:ascii="Times New Roman" w:hAnsi="Times New Roman"/>
        </w:rPr>
        <w:t xml:space="preserve"> sia di natura liquidatoria sia in continuità</w:t>
      </w:r>
      <w:r w:rsidR="192F71CA" w:rsidRPr="1467960F">
        <w:rPr>
          <w:rFonts w:ascii="Times New Roman" w:hAnsi="Times New Roman"/>
        </w:rPr>
        <w:t>,</w:t>
      </w:r>
      <w:r w:rsidRPr="1467960F">
        <w:rPr>
          <w:rFonts w:ascii="Times New Roman" w:hAnsi="Times New Roman"/>
        </w:rPr>
        <w:t xml:space="preserve"> e di comprendere il processo sottostante l’attestazione di un Piano sia con riferimento alla veridicità dei dati sia con</w:t>
      </w:r>
      <w:r w:rsidR="00E6428C" w:rsidRPr="1467960F">
        <w:rPr>
          <w:rFonts w:ascii="Times New Roman" w:hAnsi="Times New Roman"/>
        </w:rPr>
        <w:t xml:space="preserve"> </w:t>
      </w:r>
      <w:r w:rsidRPr="1467960F">
        <w:rPr>
          <w:rFonts w:ascii="Times New Roman" w:hAnsi="Times New Roman"/>
        </w:rPr>
        <w:t>riferimento alla ragionevolezza delle assunzioni sottostanti</w:t>
      </w:r>
      <w:r w:rsidR="00E6428C" w:rsidRPr="1467960F">
        <w:rPr>
          <w:rFonts w:ascii="Times New Roman" w:hAnsi="Times New Roman"/>
        </w:rPr>
        <w:t xml:space="preserve"> ed al giudizio di fattibilità che deve essere rilasciato dall’attestatore.</w:t>
      </w:r>
    </w:p>
    <w:p w14:paraId="4B94D5A5" w14:textId="77777777" w:rsidR="005006A0" w:rsidRPr="002F7B62" w:rsidRDefault="005006A0" w:rsidP="005006A0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24E6E55E" w14:textId="77777777" w:rsidR="005006A0" w:rsidRPr="002F7B62" w:rsidRDefault="005006A0" w:rsidP="00E6428C">
      <w:pPr>
        <w:spacing w:before="240" w:after="120"/>
        <w:rPr>
          <w:rFonts w:ascii="Times New Roman" w:hAnsi="Times New Roman"/>
          <w:b/>
          <w:i/>
        </w:rPr>
      </w:pPr>
      <w:r w:rsidRPr="002F7B62">
        <w:rPr>
          <w:rFonts w:ascii="Times New Roman" w:hAnsi="Times New Roman"/>
          <w:b/>
          <w:i/>
        </w:rPr>
        <w:t>PROGRAMMA DEL CORSO</w:t>
      </w:r>
    </w:p>
    <w:p w14:paraId="3E9CA3D1" w14:textId="77777777" w:rsidR="006C3AAF" w:rsidRPr="002F7B62" w:rsidRDefault="00E6428C" w:rsidP="006C3AAF">
      <w:pPr>
        <w:spacing w:before="240" w:after="120" w:line="220" w:lineRule="exact"/>
        <w:rPr>
          <w:rFonts w:ascii="Times New Roman" w:hAnsi="Times New Roman"/>
        </w:rPr>
      </w:pPr>
      <w:r w:rsidRPr="002F7B62">
        <w:rPr>
          <w:rFonts w:ascii="Times New Roman" w:hAnsi="Times New Roman"/>
        </w:rPr>
        <w:t xml:space="preserve">La definizione di «Crisi d’Impresa», nel Codice della Crisi e dell’Insolvenza (CCI) </w:t>
      </w:r>
      <w:r w:rsidR="006C3AAF" w:rsidRPr="002F7B62">
        <w:rPr>
          <w:rFonts w:ascii="Times New Roman" w:hAnsi="Times New Roman"/>
        </w:rPr>
        <w:t xml:space="preserve">e il ruolo degli </w:t>
      </w:r>
      <w:r w:rsidRPr="002F7B62">
        <w:rPr>
          <w:rFonts w:ascii="Times New Roman" w:hAnsi="Times New Roman"/>
        </w:rPr>
        <w:t xml:space="preserve">appositi indicatori. </w:t>
      </w:r>
    </w:p>
    <w:p w14:paraId="0FC49DF6" w14:textId="77777777" w:rsidR="006C3AAF" w:rsidRPr="002F7B62" w:rsidRDefault="00E6428C" w:rsidP="006C3AAF">
      <w:pPr>
        <w:spacing w:before="240" w:after="120" w:line="220" w:lineRule="exact"/>
        <w:rPr>
          <w:rFonts w:ascii="Times New Roman" w:hAnsi="Times New Roman"/>
        </w:rPr>
      </w:pPr>
      <w:r w:rsidRPr="002F7B62">
        <w:rPr>
          <w:rFonts w:ascii="Times New Roman" w:hAnsi="Times New Roman"/>
          <w:u w:val="single"/>
        </w:rPr>
        <w:lastRenderedPageBreak/>
        <w:t>Scelta tra gli stru</w:t>
      </w:r>
      <w:r w:rsidR="006C3AAF" w:rsidRPr="002F7B62">
        <w:rPr>
          <w:rFonts w:ascii="Times New Roman" w:hAnsi="Times New Roman"/>
          <w:u w:val="single"/>
        </w:rPr>
        <w:t>menti di regolazione della Crisi</w:t>
      </w:r>
      <w:r w:rsidR="006C3AAF" w:rsidRPr="002F7B62">
        <w:rPr>
          <w:rFonts w:ascii="Times New Roman" w:hAnsi="Times New Roman"/>
        </w:rPr>
        <w:t xml:space="preserve">. </w:t>
      </w:r>
      <w:r w:rsidRPr="002F7B62">
        <w:rPr>
          <w:rFonts w:ascii="Times New Roman" w:hAnsi="Times New Roman"/>
        </w:rPr>
        <w:t>Diagnosi previsione e tempestiva e</w:t>
      </w:r>
      <w:r w:rsidR="006C3AAF" w:rsidRPr="002F7B62">
        <w:rPr>
          <w:rFonts w:ascii="Times New Roman" w:hAnsi="Times New Roman"/>
        </w:rPr>
        <w:t xml:space="preserve">mersione: strumenti diagnostici. </w:t>
      </w:r>
      <w:r w:rsidRPr="002F7B62">
        <w:rPr>
          <w:rFonts w:ascii="Times New Roman" w:hAnsi="Times New Roman"/>
        </w:rPr>
        <w:t>La sussistenza delle condizioni per il risanamento</w:t>
      </w:r>
      <w:r w:rsidR="006C3AAF" w:rsidRPr="002F7B62">
        <w:rPr>
          <w:rFonts w:ascii="Times New Roman" w:hAnsi="Times New Roman"/>
        </w:rPr>
        <w:t xml:space="preserve"> </w:t>
      </w:r>
      <w:r w:rsidRPr="002F7B62">
        <w:rPr>
          <w:rFonts w:ascii="Times New Roman" w:hAnsi="Times New Roman"/>
        </w:rPr>
        <w:t>La scelta fra gli strumenti di regolazione della crisi</w:t>
      </w:r>
      <w:r w:rsidR="006C3AAF" w:rsidRPr="002F7B62">
        <w:rPr>
          <w:rFonts w:ascii="Times New Roman" w:hAnsi="Times New Roman"/>
        </w:rPr>
        <w:t xml:space="preserve">. </w:t>
      </w:r>
      <w:r w:rsidRPr="002F7B62">
        <w:rPr>
          <w:rFonts w:ascii="Times New Roman" w:hAnsi="Times New Roman"/>
        </w:rPr>
        <w:t>Piani attestati, accordi di ristrutturazione e concordato preventivo: le modifiche e le innovazioni</w:t>
      </w:r>
      <w:r w:rsidR="006C3AAF" w:rsidRPr="002F7B62">
        <w:rPr>
          <w:rFonts w:ascii="Times New Roman" w:hAnsi="Times New Roman"/>
        </w:rPr>
        <w:t>.</w:t>
      </w:r>
      <w:r w:rsidRPr="002F7B62">
        <w:rPr>
          <w:rFonts w:ascii="Times New Roman" w:hAnsi="Times New Roman"/>
        </w:rPr>
        <w:t xml:space="preserve"> Gli assetti organizzativi idonei alla prevenzione e gli strumenti attuali per l’emersione anticipata della crisi</w:t>
      </w:r>
      <w:r w:rsidR="006C3AAF" w:rsidRPr="002F7B62">
        <w:rPr>
          <w:rFonts w:ascii="Times New Roman" w:hAnsi="Times New Roman"/>
        </w:rPr>
        <w:t xml:space="preserve">. </w:t>
      </w:r>
      <w:r w:rsidRPr="002F7B62">
        <w:rPr>
          <w:rFonts w:ascii="Times New Roman" w:hAnsi="Times New Roman"/>
        </w:rPr>
        <w:t xml:space="preserve">Le procedure di prevenzione, allerta e composizione della crisi: i </w:t>
      </w:r>
      <w:r w:rsidR="006C3AAF" w:rsidRPr="002F7B62">
        <w:rPr>
          <w:rFonts w:ascii="Times New Roman" w:hAnsi="Times New Roman"/>
        </w:rPr>
        <w:t xml:space="preserve">rapporti con le altre procedure. </w:t>
      </w:r>
      <w:r w:rsidRPr="002F7B62">
        <w:rPr>
          <w:rFonts w:ascii="Times New Roman" w:hAnsi="Times New Roman"/>
        </w:rPr>
        <w:t>I soggetti obbligati e le misure premiali</w:t>
      </w:r>
      <w:r w:rsidR="006C3AAF" w:rsidRPr="002F7B62">
        <w:rPr>
          <w:rFonts w:ascii="Times New Roman" w:hAnsi="Times New Roman"/>
        </w:rPr>
        <w:t xml:space="preserve">. </w:t>
      </w:r>
      <w:r w:rsidRPr="002F7B62">
        <w:rPr>
          <w:rFonts w:ascii="Times New Roman" w:hAnsi="Times New Roman"/>
        </w:rPr>
        <w:t>Doveri e responsabilità degli organi sociali</w:t>
      </w:r>
      <w:r w:rsidR="006C3AAF" w:rsidRPr="002F7B62">
        <w:rPr>
          <w:rFonts w:ascii="Times New Roman" w:hAnsi="Times New Roman"/>
        </w:rPr>
        <w:t xml:space="preserve">. </w:t>
      </w:r>
    </w:p>
    <w:p w14:paraId="2DDA3429" w14:textId="77777777" w:rsidR="00E6428C" w:rsidRPr="002F7B62" w:rsidRDefault="00E6428C" w:rsidP="000558DE">
      <w:pPr>
        <w:spacing w:before="240" w:after="120" w:line="220" w:lineRule="exact"/>
        <w:rPr>
          <w:rFonts w:ascii="Times New Roman" w:hAnsi="Times New Roman"/>
        </w:rPr>
      </w:pPr>
      <w:r w:rsidRPr="002F7B62">
        <w:rPr>
          <w:rFonts w:ascii="Times New Roman" w:hAnsi="Times New Roman"/>
          <w:u w:val="single"/>
        </w:rPr>
        <w:t>Gli attori nella gestione della crisi</w:t>
      </w:r>
      <w:r w:rsidRPr="002F7B62">
        <w:rPr>
          <w:rFonts w:ascii="Times New Roman" w:hAnsi="Times New Roman"/>
        </w:rPr>
        <w:t xml:space="preserve"> I professionisti incaricati della stesura del piano di risanamento: gli Advisor (industriale e/o finanziario)</w:t>
      </w:r>
      <w:r w:rsidR="000558DE" w:rsidRPr="002F7B62">
        <w:rPr>
          <w:rFonts w:ascii="Times New Roman" w:hAnsi="Times New Roman"/>
        </w:rPr>
        <w:t xml:space="preserve">. </w:t>
      </w:r>
      <w:r w:rsidRPr="002F7B62">
        <w:rPr>
          <w:rFonts w:ascii="Times New Roman" w:hAnsi="Times New Roman"/>
        </w:rPr>
        <w:t>L’Advisor legale</w:t>
      </w:r>
      <w:r w:rsidR="000558DE" w:rsidRPr="002F7B62">
        <w:rPr>
          <w:rFonts w:ascii="Times New Roman" w:hAnsi="Times New Roman"/>
        </w:rPr>
        <w:t xml:space="preserve">. </w:t>
      </w:r>
      <w:r w:rsidRPr="002F7B62">
        <w:rPr>
          <w:rFonts w:ascii="Times New Roman" w:hAnsi="Times New Roman"/>
        </w:rPr>
        <w:t>L’Attestatore</w:t>
      </w:r>
      <w:r w:rsidR="000558DE" w:rsidRPr="002F7B62">
        <w:rPr>
          <w:rFonts w:ascii="Times New Roman" w:hAnsi="Times New Roman"/>
        </w:rPr>
        <w:t xml:space="preserve">. </w:t>
      </w:r>
      <w:r w:rsidRPr="002F7B62">
        <w:rPr>
          <w:rFonts w:ascii="Times New Roman" w:hAnsi="Times New Roman"/>
        </w:rPr>
        <w:t>Gli altri ruoli</w:t>
      </w:r>
    </w:p>
    <w:p w14:paraId="0CED2D0C" w14:textId="77777777" w:rsidR="000558DE" w:rsidRPr="002F7B62" w:rsidRDefault="00E6428C" w:rsidP="000558DE">
      <w:pPr>
        <w:spacing w:before="240" w:after="120" w:line="220" w:lineRule="exact"/>
        <w:rPr>
          <w:rFonts w:ascii="Times New Roman" w:hAnsi="Times New Roman"/>
        </w:rPr>
      </w:pPr>
      <w:r w:rsidRPr="002F7B62">
        <w:rPr>
          <w:rFonts w:ascii="Times New Roman" w:hAnsi="Times New Roman"/>
          <w:u w:val="single"/>
        </w:rPr>
        <w:t>Piani e accordi, strumenti per sostenere la prosecuzione dell’attività dell’impresa: caratteri generali</w:t>
      </w:r>
      <w:r w:rsidRPr="002F7B62">
        <w:rPr>
          <w:rFonts w:ascii="Times New Roman" w:hAnsi="Times New Roman"/>
        </w:rPr>
        <w:t>.</w:t>
      </w:r>
      <w:r w:rsidR="000558DE" w:rsidRPr="002F7B62">
        <w:rPr>
          <w:rFonts w:ascii="Times New Roman" w:hAnsi="Times New Roman"/>
        </w:rPr>
        <w:t xml:space="preserve"> </w:t>
      </w:r>
      <w:r w:rsidRPr="002F7B62">
        <w:rPr>
          <w:rFonts w:ascii="Times New Roman" w:hAnsi="Times New Roman"/>
        </w:rPr>
        <w:t>I piani attestati di risanamento nel nuovo Codice della crisi</w:t>
      </w:r>
      <w:r w:rsidR="000558DE" w:rsidRPr="002F7B62">
        <w:rPr>
          <w:rFonts w:ascii="Times New Roman" w:hAnsi="Times New Roman"/>
        </w:rPr>
        <w:t xml:space="preserve"> </w:t>
      </w:r>
      <w:r w:rsidRPr="002F7B62">
        <w:rPr>
          <w:rFonts w:ascii="Times New Roman" w:hAnsi="Times New Roman"/>
        </w:rPr>
        <w:t>Il “nuovo” piano di risanamento: presupposti, forma e contenuto</w:t>
      </w:r>
      <w:r w:rsidR="000558DE" w:rsidRPr="002F7B62">
        <w:rPr>
          <w:rFonts w:ascii="Times New Roman" w:hAnsi="Times New Roman"/>
        </w:rPr>
        <w:t xml:space="preserve">. </w:t>
      </w:r>
      <w:r w:rsidRPr="002F7B62">
        <w:rPr>
          <w:rFonts w:ascii="Times New Roman" w:hAnsi="Times New Roman"/>
        </w:rPr>
        <w:t>La disciplina degli accordi di ristrutturazione dei debiti</w:t>
      </w:r>
      <w:r w:rsidR="000558DE" w:rsidRPr="002F7B62">
        <w:rPr>
          <w:rFonts w:ascii="Times New Roman" w:hAnsi="Times New Roman"/>
        </w:rPr>
        <w:t xml:space="preserve">. </w:t>
      </w:r>
      <w:r w:rsidRPr="002F7B62">
        <w:rPr>
          <w:rFonts w:ascii="Times New Roman" w:hAnsi="Times New Roman"/>
        </w:rPr>
        <w:t>Gli accordi di ristrutturazione agevolati e a efficacia estesa</w:t>
      </w:r>
      <w:r w:rsidR="000558DE" w:rsidRPr="002F7B62">
        <w:rPr>
          <w:rFonts w:ascii="Times New Roman" w:hAnsi="Times New Roman"/>
        </w:rPr>
        <w:t xml:space="preserve">. </w:t>
      </w:r>
      <w:r w:rsidRPr="002F7B62">
        <w:rPr>
          <w:rFonts w:ascii="Times New Roman" w:hAnsi="Times New Roman"/>
        </w:rPr>
        <w:t>La nuova transazione fiscale e contributiva</w:t>
      </w:r>
      <w:r w:rsidR="000558DE" w:rsidRPr="002F7B62">
        <w:rPr>
          <w:rFonts w:ascii="Times New Roman" w:hAnsi="Times New Roman"/>
        </w:rPr>
        <w:t xml:space="preserve">. </w:t>
      </w:r>
      <w:r w:rsidRPr="002F7B62">
        <w:rPr>
          <w:rFonts w:ascii="Times New Roman" w:hAnsi="Times New Roman"/>
        </w:rPr>
        <w:t>Casi pratici</w:t>
      </w:r>
      <w:r w:rsidR="000558DE" w:rsidRPr="002F7B62">
        <w:rPr>
          <w:rFonts w:ascii="Times New Roman" w:hAnsi="Times New Roman"/>
        </w:rPr>
        <w:t xml:space="preserve">. </w:t>
      </w:r>
    </w:p>
    <w:p w14:paraId="40C22810" w14:textId="6151A267" w:rsidR="000558DE" w:rsidRPr="002F7B62" w:rsidRDefault="00E6428C" w:rsidP="000558DE">
      <w:pPr>
        <w:spacing w:before="240" w:after="120" w:line="220" w:lineRule="exact"/>
        <w:rPr>
          <w:rFonts w:ascii="Times New Roman" w:hAnsi="Times New Roman"/>
        </w:rPr>
      </w:pPr>
      <w:r w:rsidRPr="1467960F">
        <w:rPr>
          <w:rFonts w:ascii="Times New Roman" w:hAnsi="Times New Roman"/>
          <w:u w:val="single"/>
        </w:rPr>
        <w:t>Principi di redazione del Piano di Risanamento: aspetti di carattere generale</w:t>
      </w:r>
      <w:r w:rsidR="000558DE" w:rsidRPr="1467960F">
        <w:rPr>
          <w:rFonts w:ascii="Times New Roman" w:hAnsi="Times New Roman"/>
          <w:u w:val="single"/>
        </w:rPr>
        <w:t>.</w:t>
      </w:r>
      <w:r w:rsidR="000558DE" w:rsidRPr="1467960F">
        <w:rPr>
          <w:rFonts w:ascii="Times New Roman" w:hAnsi="Times New Roman"/>
        </w:rPr>
        <w:t xml:space="preserve"> </w:t>
      </w:r>
      <w:r w:rsidRPr="1467960F">
        <w:rPr>
          <w:rFonts w:ascii="Times New Roman" w:hAnsi="Times New Roman"/>
        </w:rPr>
        <w:t>Il ruolo centrale del piano industriale</w:t>
      </w:r>
      <w:r w:rsidR="000558DE" w:rsidRPr="1467960F">
        <w:rPr>
          <w:rFonts w:ascii="Times New Roman" w:hAnsi="Times New Roman"/>
        </w:rPr>
        <w:t xml:space="preserve">. </w:t>
      </w:r>
      <w:r w:rsidRPr="1467960F">
        <w:rPr>
          <w:rFonts w:ascii="Times New Roman" w:hAnsi="Times New Roman"/>
        </w:rPr>
        <w:t>Piano di risanamen</w:t>
      </w:r>
      <w:r w:rsidR="000558DE" w:rsidRPr="1467960F">
        <w:rPr>
          <w:rFonts w:ascii="Times New Roman" w:hAnsi="Times New Roman"/>
        </w:rPr>
        <w:t xml:space="preserve">to, i principi per la redazione. </w:t>
      </w:r>
      <w:r w:rsidRPr="1467960F">
        <w:rPr>
          <w:rFonts w:ascii="Times New Roman" w:hAnsi="Times New Roman"/>
        </w:rPr>
        <w:t>Gli aspetti fina</w:t>
      </w:r>
      <w:r w:rsidR="000558DE" w:rsidRPr="1467960F">
        <w:rPr>
          <w:rFonts w:ascii="Times New Roman" w:hAnsi="Times New Roman"/>
        </w:rPr>
        <w:t xml:space="preserve">nziari del piano di risanamento. </w:t>
      </w:r>
      <w:r w:rsidRPr="1467960F">
        <w:rPr>
          <w:rFonts w:ascii="Times New Roman" w:hAnsi="Times New Roman"/>
        </w:rPr>
        <w:t>La fiscalità dei piani attestati e de</w:t>
      </w:r>
      <w:r w:rsidR="000558DE" w:rsidRPr="1467960F">
        <w:rPr>
          <w:rFonts w:ascii="Times New Roman" w:hAnsi="Times New Roman"/>
        </w:rPr>
        <w:t xml:space="preserve">gli accordi di ristrutturazione. </w:t>
      </w:r>
      <w:r w:rsidRPr="1467960F">
        <w:rPr>
          <w:rFonts w:ascii="Times New Roman" w:hAnsi="Times New Roman"/>
        </w:rPr>
        <w:t>La fattibilità dei piani: analisi di sensitività e stress test</w:t>
      </w:r>
      <w:r w:rsidR="000558DE" w:rsidRPr="1467960F">
        <w:rPr>
          <w:rFonts w:ascii="Times New Roman" w:hAnsi="Times New Roman"/>
        </w:rPr>
        <w:t xml:space="preserve">. </w:t>
      </w:r>
      <w:r w:rsidRPr="1467960F">
        <w:rPr>
          <w:rFonts w:ascii="Times New Roman" w:hAnsi="Times New Roman"/>
        </w:rPr>
        <w:t>Casi pratici</w:t>
      </w:r>
      <w:r w:rsidR="000558DE" w:rsidRPr="1467960F">
        <w:rPr>
          <w:rFonts w:ascii="Times New Roman" w:hAnsi="Times New Roman"/>
        </w:rPr>
        <w:t xml:space="preserve">. </w:t>
      </w:r>
      <w:r w:rsidRPr="1467960F">
        <w:rPr>
          <w:rFonts w:ascii="Times New Roman" w:hAnsi="Times New Roman"/>
          <w:u w:val="single"/>
        </w:rPr>
        <w:t>Principi di redazione del Piano di Risanamento: aspetti specifici</w:t>
      </w:r>
      <w:r w:rsidR="000558DE" w:rsidRPr="1467960F">
        <w:rPr>
          <w:rFonts w:ascii="Times New Roman" w:hAnsi="Times New Roman"/>
          <w:u w:val="single"/>
        </w:rPr>
        <w:t>.</w:t>
      </w:r>
      <w:r w:rsidR="000558DE" w:rsidRPr="1467960F">
        <w:rPr>
          <w:rFonts w:ascii="Times New Roman" w:hAnsi="Times New Roman"/>
        </w:rPr>
        <w:t xml:space="preserve"> </w:t>
      </w:r>
      <w:r w:rsidRPr="1467960F">
        <w:rPr>
          <w:rFonts w:ascii="Times New Roman" w:hAnsi="Times New Roman"/>
        </w:rPr>
        <w:t>Obiettivi del piano di risanamento</w:t>
      </w:r>
      <w:r w:rsidR="000558DE" w:rsidRPr="1467960F">
        <w:rPr>
          <w:rFonts w:ascii="Times New Roman" w:hAnsi="Times New Roman"/>
        </w:rPr>
        <w:t xml:space="preserve">. </w:t>
      </w:r>
      <w:r w:rsidRPr="1467960F">
        <w:rPr>
          <w:rFonts w:ascii="Times New Roman" w:hAnsi="Times New Roman"/>
        </w:rPr>
        <w:t>Il procedimento di elaborazione del Piano</w:t>
      </w:r>
      <w:r w:rsidR="000558DE" w:rsidRPr="1467960F">
        <w:rPr>
          <w:rFonts w:ascii="Times New Roman" w:hAnsi="Times New Roman"/>
        </w:rPr>
        <w:t xml:space="preserve">. </w:t>
      </w:r>
      <w:r w:rsidRPr="1467960F">
        <w:rPr>
          <w:rFonts w:ascii="Times New Roman" w:hAnsi="Times New Roman"/>
        </w:rPr>
        <w:t>La descrizione della situazione di partenza e delle ragioni della crisi</w:t>
      </w:r>
      <w:r w:rsidR="000558DE" w:rsidRPr="1467960F">
        <w:rPr>
          <w:rFonts w:ascii="Times New Roman" w:hAnsi="Times New Roman"/>
        </w:rPr>
        <w:t xml:space="preserve">. </w:t>
      </w:r>
      <w:r w:rsidRPr="1467960F">
        <w:rPr>
          <w:rFonts w:ascii="Times New Roman" w:hAnsi="Times New Roman"/>
        </w:rPr>
        <w:t>La strategia generale di risanamento</w:t>
      </w:r>
      <w:r w:rsidR="000558DE" w:rsidRPr="1467960F">
        <w:rPr>
          <w:rFonts w:ascii="Times New Roman" w:hAnsi="Times New Roman"/>
        </w:rPr>
        <w:t xml:space="preserve">. </w:t>
      </w:r>
      <w:r w:rsidRPr="1467960F">
        <w:rPr>
          <w:rFonts w:ascii="Times New Roman" w:hAnsi="Times New Roman"/>
        </w:rPr>
        <w:t>L’impatto specifico del risanamento</w:t>
      </w:r>
      <w:r w:rsidR="000558DE" w:rsidRPr="1467960F">
        <w:rPr>
          <w:rFonts w:ascii="Times New Roman" w:hAnsi="Times New Roman"/>
        </w:rPr>
        <w:t xml:space="preserve">. </w:t>
      </w:r>
      <w:r w:rsidRPr="1467960F">
        <w:rPr>
          <w:rFonts w:ascii="Times New Roman" w:hAnsi="Times New Roman"/>
        </w:rPr>
        <w:t>La manovra finanziaria, l’arco temporale e le azioni previste</w:t>
      </w:r>
      <w:r w:rsidR="000558DE" w:rsidRPr="1467960F">
        <w:rPr>
          <w:rFonts w:ascii="Times New Roman" w:hAnsi="Times New Roman"/>
        </w:rPr>
        <w:t xml:space="preserve">. </w:t>
      </w:r>
      <w:r w:rsidRPr="1467960F">
        <w:rPr>
          <w:rFonts w:ascii="Times New Roman" w:hAnsi="Times New Roman"/>
        </w:rPr>
        <w:t>Il Piano economico-finanziario e patrimoniale e le analisi di sensitività</w:t>
      </w:r>
      <w:r w:rsidR="000558DE" w:rsidRPr="1467960F">
        <w:rPr>
          <w:rFonts w:ascii="Times New Roman" w:hAnsi="Times New Roman"/>
        </w:rPr>
        <w:t xml:space="preserve">. </w:t>
      </w:r>
      <w:r w:rsidRPr="1467960F">
        <w:rPr>
          <w:rFonts w:ascii="Times New Roman" w:hAnsi="Times New Roman"/>
        </w:rPr>
        <w:t>Esecuzione e monitoraggio del piano</w:t>
      </w:r>
      <w:r w:rsidR="000558DE" w:rsidRPr="1467960F">
        <w:rPr>
          <w:rFonts w:ascii="Times New Roman" w:hAnsi="Times New Roman"/>
        </w:rPr>
        <w:t xml:space="preserve">. </w:t>
      </w:r>
      <w:r w:rsidRPr="1467960F">
        <w:rPr>
          <w:rFonts w:ascii="Times New Roman" w:hAnsi="Times New Roman"/>
        </w:rPr>
        <w:t>Casi pratici</w:t>
      </w:r>
      <w:r w:rsidR="000558DE" w:rsidRPr="1467960F">
        <w:rPr>
          <w:rFonts w:ascii="Times New Roman" w:hAnsi="Times New Roman"/>
        </w:rPr>
        <w:t xml:space="preserve">. </w:t>
      </w:r>
      <w:r w:rsidRPr="1467960F">
        <w:rPr>
          <w:rFonts w:ascii="Times New Roman" w:hAnsi="Times New Roman"/>
          <w:u w:val="single"/>
        </w:rPr>
        <w:t>Principi di attestazione dei Piano di Risanamento: aspetti generali</w:t>
      </w:r>
      <w:r w:rsidR="000558DE" w:rsidRPr="1467960F">
        <w:rPr>
          <w:rFonts w:ascii="Times New Roman" w:hAnsi="Times New Roman"/>
        </w:rPr>
        <w:t xml:space="preserve">. </w:t>
      </w:r>
      <w:r w:rsidRPr="1467960F">
        <w:rPr>
          <w:rFonts w:ascii="Times New Roman" w:hAnsi="Times New Roman"/>
        </w:rPr>
        <w:t>I prerequisiti: qualifiche, indipendenza, autonomia, capacità professionale ed organizzativa</w:t>
      </w:r>
      <w:r w:rsidR="000558DE" w:rsidRPr="1467960F">
        <w:rPr>
          <w:rFonts w:ascii="Times New Roman" w:hAnsi="Times New Roman"/>
        </w:rPr>
        <w:t xml:space="preserve">. </w:t>
      </w:r>
      <w:r w:rsidRPr="1467960F">
        <w:rPr>
          <w:rFonts w:ascii="Times New Roman" w:hAnsi="Times New Roman"/>
        </w:rPr>
        <w:t xml:space="preserve">L’incarico: contenuto minimo, </w:t>
      </w:r>
      <w:r w:rsidRPr="006C710D">
        <w:rPr>
          <w:rFonts w:ascii="Times New Roman" w:hAnsi="Times New Roman"/>
          <w:i/>
          <w:iCs/>
        </w:rPr>
        <w:t>engagement letter</w:t>
      </w:r>
      <w:r w:rsidRPr="1467960F">
        <w:rPr>
          <w:rFonts w:ascii="Times New Roman" w:hAnsi="Times New Roman"/>
        </w:rPr>
        <w:t xml:space="preserve">, valutazione della prestazione, la responsabilità </w:t>
      </w:r>
      <w:r w:rsidR="000558DE" w:rsidRPr="1467960F">
        <w:rPr>
          <w:rFonts w:ascii="Times New Roman" w:hAnsi="Times New Roman"/>
        </w:rPr>
        <w:t xml:space="preserve">dell’attestatore. </w:t>
      </w:r>
      <w:r w:rsidRPr="1467960F">
        <w:rPr>
          <w:rFonts w:ascii="Times New Roman" w:hAnsi="Times New Roman"/>
        </w:rPr>
        <w:t>I Principi di attestazione</w:t>
      </w:r>
      <w:r w:rsidR="000558DE" w:rsidRPr="1467960F">
        <w:rPr>
          <w:rFonts w:ascii="Times New Roman" w:hAnsi="Times New Roman"/>
        </w:rPr>
        <w:t xml:space="preserve">. </w:t>
      </w:r>
      <w:r w:rsidRPr="1467960F">
        <w:rPr>
          <w:rFonts w:ascii="Times New Roman" w:hAnsi="Times New Roman"/>
        </w:rPr>
        <w:t>Il ruolo e l’attività di attestazione nella valutazione dei piani di risanamento.</w:t>
      </w:r>
      <w:r w:rsidR="000558DE" w:rsidRPr="1467960F">
        <w:rPr>
          <w:rFonts w:ascii="Times New Roman" w:hAnsi="Times New Roman"/>
        </w:rPr>
        <w:t xml:space="preserve"> </w:t>
      </w:r>
      <w:r w:rsidRPr="1467960F">
        <w:rPr>
          <w:rFonts w:ascii="Times New Roman" w:hAnsi="Times New Roman"/>
        </w:rPr>
        <w:t>Casi pratici</w:t>
      </w:r>
      <w:r w:rsidR="000558DE" w:rsidRPr="1467960F">
        <w:rPr>
          <w:rFonts w:ascii="Times New Roman" w:hAnsi="Times New Roman"/>
        </w:rPr>
        <w:t xml:space="preserve">. </w:t>
      </w:r>
      <w:r w:rsidRPr="1467960F">
        <w:rPr>
          <w:rFonts w:ascii="Times New Roman" w:hAnsi="Times New Roman"/>
          <w:u w:val="single"/>
        </w:rPr>
        <w:t>Principi di attestazione dei Piano di</w:t>
      </w:r>
      <w:r w:rsidR="000558DE" w:rsidRPr="1467960F">
        <w:rPr>
          <w:rFonts w:ascii="Times New Roman" w:hAnsi="Times New Roman"/>
          <w:u w:val="single"/>
        </w:rPr>
        <w:t xml:space="preserve"> Risanamento: aspetti specifici</w:t>
      </w:r>
      <w:r w:rsidR="000558DE" w:rsidRPr="1467960F">
        <w:rPr>
          <w:rFonts w:ascii="Times New Roman" w:hAnsi="Times New Roman"/>
        </w:rPr>
        <w:t>. L</w:t>
      </w:r>
      <w:r w:rsidRPr="1467960F">
        <w:rPr>
          <w:rFonts w:ascii="Times New Roman" w:hAnsi="Times New Roman"/>
        </w:rPr>
        <w:t>a struttura della relazione</w:t>
      </w:r>
      <w:r w:rsidR="000558DE" w:rsidRPr="1467960F">
        <w:rPr>
          <w:rFonts w:ascii="Times New Roman" w:hAnsi="Times New Roman"/>
        </w:rPr>
        <w:t>. L</w:t>
      </w:r>
      <w:r w:rsidRPr="1467960F">
        <w:rPr>
          <w:rFonts w:ascii="Times New Roman" w:hAnsi="Times New Roman"/>
        </w:rPr>
        <w:t>a veridicità dei dati contabili e di quelli aziendali</w:t>
      </w:r>
      <w:r w:rsidR="000558DE" w:rsidRPr="1467960F">
        <w:rPr>
          <w:rFonts w:ascii="Times New Roman" w:hAnsi="Times New Roman"/>
        </w:rPr>
        <w:t xml:space="preserve">. </w:t>
      </w:r>
      <w:r w:rsidRPr="1467960F">
        <w:rPr>
          <w:rFonts w:ascii="Times New Roman" w:hAnsi="Times New Roman"/>
        </w:rPr>
        <w:t>Le attività di verifica della fattibilità</w:t>
      </w:r>
      <w:r w:rsidR="000558DE" w:rsidRPr="1467960F">
        <w:rPr>
          <w:rFonts w:ascii="Times New Roman" w:hAnsi="Times New Roman"/>
        </w:rPr>
        <w:t>. L</w:t>
      </w:r>
      <w:r w:rsidRPr="1467960F">
        <w:rPr>
          <w:rFonts w:ascii="Times New Roman" w:hAnsi="Times New Roman"/>
        </w:rPr>
        <w:t xml:space="preserve">e verifiche da seguire, la </w:t>
      </w:r>
      <w:r w:rsidRPr="006C710D">
        <w:rPr>
          <w:rFonts w:ascii="Times New Roman" w:hAnsi="Times New Roman"/>
          <w:i/>
          <w:iCs/>
        </w:rPr>
        <w:t xml:space="preserve">reliance </w:t>
      </w:r>
      <w:r w:rsidRPr="1467960F">
        <w:rPr>
          <w:rFonts w:ascii="Times New Roman" w:hAnsi="Times New Roman"/>
        </w:rPr>
        <w:t>a verifiche condotte da terzi</w:t>
      </w:r>
      <w:r w:rsidR="000558DE" w:rsidRPr="1467960F">
        <w:rPr>
          <w:rFonts w:ascii="Times New Roman" w:hAnsi="Times New Roman"/>
        </w:rPr>
        <w:t>. L</w:t>
      </w:r>
      <w:r w:rsidRPr="1467960F">
        <w:rPr>
          <w:rFonts w:ascii="Times New Roman" w:hAnsi="Times New Roman"/>
        </w:rPr>
        <w:t xml:space="preserve">e </w:t>
      </w:r>
      <w:r w:rsidRPr="006C710D">
        <w:rPr>
          <w:rFonts w:ascii="Times New Roman" w:hAnsi="Times New Roman"/>
          <w:i/>
          <w:iCs/>
        </w:rPr>
        <w:t>check list</w:t>
      </w:r>
      <w:r w:rsidRPr="1467960F">
        <w:rPr>
          <w:rFonts w:ascii="Times New Roman" w:hAnsi="Times New Roman"/>
        </w:rPr>
        <w:t xml:space="preserve"> e l’interazione con gli altri professionisti</w:t>
      </w:r>
      <w:r w:rsidR="000558DE" w:rsidRPr="1467960F">
        <w:rPr>
          <w:rFonts w:ascii="Times New Roman" w:hAnsi="Times New Roman"/>
        </w:rPr>
        <w:t xml:space="preserve">. </w:t>
      </w:r>
      <w:r w:rsidRPr="1467960F">
        <w:rPr>
          <w:rFonts w:ascii="Times New Roman" w:hAnsi="Times New Roman"/>
        </w:rPr>
        <w:t>Casi pratici</w:t>
      </w:r>
      <w:r w:rsidR="000558DE" w:rsidRPr="1467960F">
        <w:rPr>
          <w:rFonts w:ascii="Times New Roman" w:hAnsi="Times New Roman"/>
        </w:rPr>
        <w:t xml:space="preserve">. </w:t>
      </w:r>
    </w:p>
    <w:p w14:paraId="56135B70" w14:textId="13D02F66" w:rsidR="00402A8B" w:rsidRPr="002F7B62" w:rsidRDefault="00E6428C" w:rsidP="000558DE">
      <w:pPr>
        <w:spacing w:before="240" w:after="120" w:line="220" w:lineRule="exact"/>
        <w:rPr>
          <w:rFonts w:ascii="Times New Roman" w:hAnsi="Times New Roman"/>
        </w:rPr>
      </w:pPr>
      <w:r w:rsidRPr="1467960F">
        <w:rPr>
          <w:rFonts w:ascii="Times New Roman" w:hAnsi="Times New Roman"/>
          <w:u w:val="single"/>
        </w:rPr>
        <w:t>Le diverse opportunità per la gestione ed il superamento della Crisi: il Piano attestato di Risanamento</w:t>
      </w:r>
      <w:r w:rsidR="000558DE" w:rsidRPr="1467960F">
        <w:rPr>
          <w:rFonts w:ascii="Times New Roman" w:hAnsi="Times New Roman"/>
        </w:rPr>
        <w:t xml:space="preserve">. </w:t>
      </w:r>
      <w:r w:rsidRPr="1467960F">
        <w:rPr>
          <w:rFonts w:ascii="Times New Roman" w:hAnsi="Times New Roman"/>
        </w:rPr>
        <w:t>Caratteristiche del piano di risanamento</w:t>
      </w:r>
      <w:r w:rsidR="000558DE" w:rsidRPr="1467960F">
        <w:rPr>
          <w:rFonts w:ascii="Times New Roman" w:hAnsi="Times New Roman"/>
        </w:rPr>
        <w:t xml:space="preserve">. </w:t>
      </w:r>
      <w:r w:rsidRPr="1467960F">
        <w:rPr>
          <w:rFonts w:ascii="Times New Roman" w:hAnsi="Times New Roman"/>
        </w:rPr>
        <w:t>La componente qualitativa del Piano</w:t>
      </w:r>
      <w:r w:rsidR="000558DE" w:rsidRPr="1467960F">
        <w:rPr>
          <w:rFonts w:ascii="Times New Roman" w:hAnsi="Times New Roman"/>
        </w:rPr>
        <w:t xml:space="preserve">. </w:t>
      </w:r>
      <w:r w:rsidRPr="1467960F">
        <w:rPr>
          <w:rFonts w:ascii="Times New Roman" w:hAnsi="Times New Roman"/>
        </w:rPr>
        <w:t>La componente quantitativa del Piano</w:t>
      </w:r>
      <w:r w:rsidR="000558DE" w:rsidRPr="1467960F">
        <w:rPr>
          <w:rFonts w:ascii="Times New Roman" w:hAnsi="Times New Roman"/>
        </w:rPr>
        <w:t xml:space="preserve">. </w:t>
      </w:r>
      <w:r w:rsidRPr="1467960F">
        <w:rPr>
          <w:rFonts w:ascii="Times New Roman" w:hAnsi="Times New Roman"/>
        </w:rPr>
        <w:t xml:space="preserve">Aspetti procedurali inerenti la negoziazione con i creditori </w:t>
      </w:r>
      <w:r w:rsidR="158F8DC3" w:rsidRPr="1467960F">
        <w:rPr>
          <w:rFonts w:ascii="Times New Roman" w:hAnsi="Times New Roman"/>
        </w:rPr>
        <w:t xml:space="preserve">e </w:t>
      </w:r>
      <w:r w:rsidRPr="1467960F">
        <w:rPr>
          <w:rFonts w:ascii="Times New Roman" w:hAnsi="Times New Roman"/>
        </w:rPr>
        <w:t>l’approvazione del Piano, la sua attestazione e la modifica del piano successiva all’attestazione</w:t>
      </w:r>
      <w:r w:rsidR="000558DE" w:rsidRPr="1467960F">
        <w:rPr>
          <w:rFonts w:ascii="Times New Roman" w:hAnsi="Times New Roman"/>
        </w:rPr>
        <w:t xml:space="preserve">. </w:t>
      </w:r>
      <w:r w:rsidRPr="1467960F">
        <w:rPr>
          <w:rFonts w:ascii="Times New Roman" w:hAnsi="Times New Roman"/>
        </w:rPr>
        <w:t>Gli aspetti fiscali</w:t>
      </w:r>
      <w:r w:rsidR="000558DE" w:rsidRPr="1467960F">
        <w:rPr>
          <w:rFonts w:ascii="Times New Roman" w:hAnsi="Times New Roman"/>
        </w:rPr>
        <w:t xml:space="preserve">. </w:t>
      </w:r>
      <w:r w:rsidRPr="1467960F">
        <w:rPr>
          <w:rFonts w:ascii="Times New Roman" w:hAnsi="Times New Roman"/>
        </w:rPr>
        <w:t>Casi pratici</w:t>
      </w:r>
      <w:r w:rsidR="000558DE" w:rsidRPr="1467960F">
        <w:rPr>
          <w:rFonts w:ascii="Times New Roman" w:hAnsi="Times New Roman"/>
        </w:rPr>
        <w:t xml:space="preserve">. </w:t>
      </w:r>
      <w:r w:rsidRPr="1467960F">
        <w:rPr>
          <w:rFonts w:ascii="Times New Roman" w:hAnsi="Times New Roman"/>
          <w:u w:val="single"/>
        </w:rPr>
        <w:t xml:space="preserve">Le </w:t>
      </w:r>
      <w:r w:rsidRPr="1467960F">
        <w:rPr>
          <w:rFonts w:ascii="Times New Roman" w:hAnsi="Times New Roman"/>
          <w:u w:val="single"/>
        </w:rPr>
        <w:lastRenderedPageBreak/>
        <w:t>diverse opportunità per la gestione ed il superamento della Crisi: gli accordi di ristrutturazione del debito</w:t>
      </w:r>
      <w:r w:rsidR="000558DE" w:rsidRPr="1467960F">
        <w:rPr>
          <w:rFonts w:ascii="Times New Roman" w:hAnsi="Times New Roman"/>
        </w:rPr>
        <w:t xml:space="preserve">. </w:t>
      </w:r>
      <w:r w:rsidRPr="1467960F">
        <w:rPr>
          <w:rFonts w:ascii="Times New Roman" w:hAnsi="Times New Roman"/>
        </w:rPr>
        <w:t>Inquadramento e finalità dell’accordo di ristrutturazione</w:t>
      </w:r>
      <w:r w:rsidR="000558DE" w:rsidRPr="1467960F">
        <w:rPr>
          <w:rFonts w:ascii="Times New Roman" w:hAnsi="Times New Roman"/>
        </w:rPr>
        <w:t xml:space="preserve">. </w:t>
      </w:r>
      <w:r w:rsidRPr="1467960F">
        <w:rPr>
          <w:rFonts w:ascii="Times New Roman" w:hAnsi="Times New Roman"/>
        </w:rPr>
        <w:t>Costruzione delle proposte, contenuto minimo e formalità da osservare</w:t>
      </w:r>
      <w:r w:rsidR="000558DE" w:rsidRPr="1467960F">
        <w:rPr>
          <w:rFonts w:ascii="Times New Roman" w:hAnsi="Times New Roman"/>
        </w:rPr>
        <w:t xml:space="preserve">. </w:t>
      </w:r>
      <w:r w:rsidRPr="1467960F">
        <w:rPr>
          <w:rFonts w:ascii="Times New Roman" w:hAnsi="Times New Roman"/>
        </w:rPr>
        <w:t>Conduzione delle trattative con i creditori</w:t>
      </w:r>
      <w:r w:rsidR="000558DE" w:rsidRPr="1467960F">
        <w:rPr>
          <w:rFonts w:ascii="Times New Roman" w:hAnsi="Times New Roman"/>
        </w:rPr>
        <w:t xml:space="preserve">. </w:t>
      </w:r>
      <w:r w:rsidRPr="1467960F">
        <w:rPr>
          <w:rFonts w:ascii="Times New Roman" w:hAnsi="Times New Roman"/>
        </w:rPr>
        <w:t>Il sos</w:t>
      </w:r>
      <w:r w:rsidR="000558DE" w:rsidRPr="1467960F">
        <w:rPr>
          <w:rFonts w:ascii="Times New Roman" w:hAnsi="Times New Roman"/>
        </w:rPr>
        <w:t xml:space="preserve">tegno alla continuità aziendale. </w:t>
      </w:r>
      <w:r w:rsidRPr="1467960F">
        <w:rPr>
          <w:rFonts w:ascii="Times New Roman" w:hAnsi="Times New Roman"/>
        </w:rPr>
        <w:t xml:space="preserve">Gli accordi ad </w:t>
      </w:r>
      <w:r w:rsidR="653BE5FA" w:rsidRPr="1467960F">
        <w:rPr>
          <w:rFonts w:ascii="Times New Roman" w:hAnsi="Times New Roman"/>
        </w:rPr>
        <w:t xml:space="preserve">efficacia </w:t>
      </w:r>
      <w:r w:rsidRPr="1467960F">
        <w:rPr>
          <w:rFonts w:ascii="Times New Roman" w:hAnsi="Times New Roman"/>
        </w:rPr>
        <w:t>estesa</w:t>
      </w:r>
      <w:r w:rsidR="000558DE" w:rsidRPr="1467960F">
        <w:rPr>
          <w:rFonts w:ascii="Times New Roman" w:hAnsi="Times New Roman"/>
        </w:rPr>
        <w:t xml:space="preserve">. </w:t>
      </w:r>
      <w:r w:rsidRPr="1467960F">
        <w:rPr>
          <w:rFonts w:ascii="Times New Roman" w:hAnsi="Times New Roman"/>
        </w:rPr>
        <w:t>L’attestatore, ruolo e funzione</w:t>
      </w:r>
      <w:r w:rsidR="000558DE" w:rsidRPr="1467960F">
        <w:rPr>
          <w:rFonts w:ascii="Times New Roman" w:hAnsi="Times New Roman"/>
        </w:rPr>
        <w:t xml:space="preserve">. </w:t>
      </w:r>
      <w:r w:rsidRPr="1467960F">
        <w:rPr>
          <w:rFonts w:ascii="Times New Roman" w:hAnsi="Times New Roman"/>
        </w:rPr>
        <w:t>Verifica dei risultati raggiunti e casi di successione di piani e accordi</w:t>
      </w:r>
      <w:r w:rsidR="000558DE" w:rsidRPr="1467960F">
        <w:rPr>
          <w:rFonts w:ascii="Times New Roman" w:hAnsi="Times New Roman"/>
        </w:rPr>
        <w:t xml:space="preserve">. </w:t>
      </w:r>
      <w:r w:rsidRPr="1467960F">
        <w:rPr>
          <w:rFonts w:ascii="Times New Roman" w:hAnsi="Times New Roman"/>
        </w:rPr>
        <w:t>La modifica dell’accordo e/o del piano</w:t>
      </w:r>
      <w:r w:rsidR="000558DE" w:rsidRPr="1467960F">
        <w:rPr>
          <w:rFonts w:ascii="Times New Roman" w:hAnsi="Times New Roman"/>
        </w:rPr>
        <w:t xml:space="preserve">. </w:t>
      </w:r>
      <w:r w:rsidRPr="1467960F">
        <w:rPr>
          <w:rFonts w:ascii="Times New Roman" w:hAnsi="Times New Roman"/>
        </w:rPr>
        <w:t>Gli aspetti fiscali</w:t>
      </w:r>
      <w:r w:rsidR="000558DE" w:rsidRPr="1467960F">
        <w:rPr>
          <w:rFonts w:ascii="Times New Roman" w:hAnsi="Times New Roman"/>
        </w:rPr>
        <w:t xml:space="preserve">. </w:t>
      </w:r>
      <w:r w:rsidRPr="1467960F">
        <w:rPr>
          <w:rFonts w:ascii="Times New Roman" w:hAnsi="Times New Roman"/>
        </w:rPr>
        <w:t>Casi pratici</w:t>
      </w:r>
      <w:r w:rsidR="000558DE" w:rsidRPr="1467960F">
        <w:rPr>
          <w:rFonts w:ascii="Times New Roman" w:hAnsi="Times New Roman"/>
        </w:rPr>
        <w:t xml:space="preserve">. </w:t>
      </w:r>
    </w:p>
    <w:p w14:paraId="59C14B30" w14:textId="77777777" w:rsidR="00E6428C" w:rsidRPr="002F7B62" w:rsidRDefault="00E6428C" w:rsidP="000558DE">
      <w:pPr>
        <w:spacing w:before="240" w:after="120" w:line="220" w:lineRule="exact"/>
        <w:rPr>
          <w:rFonts w:ascii="Times New Roman" w:hAnsi="Times New Roman"/>
        </w:rPr>
      </w:pPr>
      <w:r w:rsidRPr="002F7B62">
        <w:rPr>
          <w:rFonts w:ascii="Times New Roman" w:hAnsi="Times New Roman"/>
          <w:u w:val="single"/>
        </w:rPr>
        <w:t>Le diverse opportunità per la gestione ed il superamento della Crisi: il concordato preventivo e quello fallimentare</w:t>
      </w:r>
      <w:r w:rsidR="00402A8B" w:rsidRPr="002F7B62">
        <w:rPr>
          <w:rFonts w:ascii="Times New Roman" w:hAnsi="Times New Roman"/>
        </w:rPr>
        <w:t xml:space="preserve">. </w:t>
      </w:r>
      <w:r w:rsidRPr="002F7B62">
        <w:rPr>
          <w:rFonts w:ascii="Times New Roman" w:hAnsi="Times New Roman"/>
          <w:u w:val="single"/>
        </w:rPr>
        <w:t>Il concordato preventivo</w:t>
      </w:r>
      <w:r w:rsidR="00402A8B" w:rsidRPr="002F7B62">
        <w:rPr>
          <w:rFonts w:ascii="Times New Roman" w:hAnsi="Times New Roman"/>
        </w:rPr>
        <w:t>.</w:t>
      </w:r>
      <w:r w:rsidRPr="002F7B62">
        <w:rPr>
          <w:rFonts w:ascii="Times New Roman" w:hAnsi="Times New Roman"/>
        </w:rPr>
        <w:t xml:space="preserve"> Le modifiche alla disciplina del concordato</w:t>
      </w:r>
      <w:r w:rsidR="000558DE" w:rsidRPr="002F7B62">
        <w:rPr>
          <w:rFonts w:ascii="Times New Roman" w:hAnsi="Times New Roman"/>
        </w:rPr>
        <w:t xml:space="preserve">. </w:t>
      </w:r>
      <w:r w:rsidRPr="002F7B62">
        <w:rPr>
          <w:rFonts w:ascii="Times New Roman" w:hAnsi="Times New Roman"/>
        </w:rPr>
        <w:t>L’attestatore, ruolo e funzione, veridicità e attestazione dei dati</w:t>
      </w:r>
      <w:r w:rsidR="000558DE" w:rsidRPr="002F7B62">
        <w:rPr>
          <w:rFonts w:ascii="Times New Roman" w:hAnsi="Times New Roman"/>
        </w:rPr>
        <w:t xml:space="preserve">. </w:t>
      </w:r>
      <w:r w:rsidRPr="002F7B62">
        <w:rPr>
          <w:rFonts w:ascii="Times New Roman" w:hAnsi="Times New Roman"/>
        </w:rPr>
        <w:t>Il giudizio di fattibilità del piano liquidatorio ed in continuità</w:t>
      </w:r>
      <w:r w:rsidR="000558DE" w:rsidRPr="002F7B62">
        <w:rPr>
          <w:rFonts w:ascii="Times New Roman" w:hAnsi="Times New Roman"/>
        </w:rPr>
        <w:t xml:space="preserve">. </w:t>
      </w:r>
      <w:r w:rsidRPr="002F7B62">
        <w:rPr>
          <w:rFonts w:ascii="Times New Roman" w:hAnsi="Times New Roman"/>
        </w:rPr>
        <w:t>Le attestazioni specifiche: finanziamenti prededucibili, pagamenti a fornitori strategici</w:t>
      </w:r>
      <w:r w:rsidR="000558DE" w:rsidRPr="002F7B62">
        <w:rPr>
          <w:rFonts w:ascii="Times New Roman" w:hAnsi="Times New Roman"/>
        </w:rPr>
        <w:t xml:space="preserve">. </w:t>
      </w:r>
      <w:r w:rsidRPr="002F7B62">
        <w:rPr>
          <w:rFonts w:ascii="Times New Roman" w:hAnsi="Times New Roman"/>
        </w:rPr>
        <w:t>Il contenuto del piano e della proposta</w:t>
      </w:r>
      <w:r w:rsidR="000558DE" w:rsidRPr="002F7B62">
        <w:rPr>
          <w:rFonts w:ascii="Times New Roman" w:hAnsi="Times New Roman"/>
        </w:rPr>
        <w:t xml:space="preserve">. </w:t>
      </w:r>
      <w:r w:rsidRPr="002F7B62">
        <w:rPr>
          <w:rFonts w:ascii="Times New Roman" w:hAnsi="Times New Roman"/>
        </w:rPr>
        <w:t>Liquidazione e continuità aziendale; continuità diretta e indiretta</w:t>
      </w:r>
      <w:r w:rsidR="000558DE" w:rsidRPr="002F7B62">
        <w:rPr>
          <w:rFonts w:ascii="Times New Roman" w:hAnsi="Times New Roman"/>
        </w:rPr>
        <w:t xml:space="preserve">. </w:t>
      </w:r>
      <w:r w:rsidRPr="002F7B62">
        <w:rPr>
          <w:rFonts w:ascii="Times New Roman" w:hAnsi="Times New Roman"/>
        </w:rPr>
        <w:t>I rapporti con le procedure di allerta</w:t>
      </w:r>
      <w:r w:rsidRPr="002F7B62">
        <w:rPr>
          <w:rFonts w:ascii="Times New Roman" w:hAnsi="Times New Roman"/>
        </w:rPr>
        <w:br/>
        <w:t>La “nuova finanza” nel concordato in continuità</w:t>
      </w:r>
      <w:r w:rsidR="00402A8B" w:rsidRPr="002F7B62">
        <w:rPr>
          <w:rFonts w:ascii="Times New Roman" w:hAnsi="Times New Roman"/>
        </w:rPr>
        <w:t xml:space="preserve">. </w:t>
      </w:r>
      <w:r w:rsidRPr="002F7B62">
        <w:rPr>
          <w:rFonts w:ascii="Times New Roman" w:hAnsi="Times New Roman"/>
        </w:rPr>
        <w:t>Le novità nella fase esecutiva e nella tutela dei creditori post-omologa</w:t>
      </w:r>
      <w:r w:rsidR="000558DE" w:rsidRPr="002F7B62">
        <w:rPr>
          <w:rFonts w:ascii="Times New Roman" w:hAnsi="Times New Roman"/>
        </w:rPr>
        <w:t xml:space="preserve">. </w:t>
      </w:r>
      <w:r w:rsidRPr="002F7B62">
        <w:rPr>
          <w:rFonts w:ascii="Times New Roman" w:hAnsi="Times New Roman"/>
        </w:rPr>
        <w:t>Il trattamento dei crediti privilegiati</w:t>
      </w:r>
      <w:r w:rsidR="000558DE" w:rsidRPr="002F7B62">
        <w:rPr>
          <w:rFonts w:ascii="Times New Roman" w:hAnsi="Times New Roman"/>
        </w:rPr>
        <w:t xml:space="preserve">. </w:t>
      </w:r>
      <w:r w:rsidRPr="002F7B62">
        <w:rPr>
          <w:rFonts w:ascii="Times New Roman" w:hAnsi="Times New Roman"/>
        </w:rPr>
        <w:t>La transazione fiscale</w:t>
      </w:r>
      <w:r w:rsidR="000558DE" w:rsidRPr="002F7B62">
        <w:rPr>
          <w:rFonts w:ascii="Times New Roman" w:hAnsi="Times New Roman"/>
        </w:rPr>
        <w:t xml:space="preserve">. </w:t>
      </w:r>
      <w:r w:rsidRPr="002F7B62">
        <w:rPr>
          <w:rFonts w:ascii="Times New Roman" w:hAnsi="Times New Roman"/>
        </w:rPr>
        <w:t>La falcidia dei creditori privilegiati</w:t>
      </w:r>
      <w:r w:rsidR="000558DE" w:rsidRPr="002F7B62">
        <w:rPr>
          <w:rFonts w:ascii="Times New Roman" w:hAnsi="Times New Roman"/>
        </w:rPr>
        <w:t xml:space="preserve">. </w:t>
      </w:r>
      <w:r w:rsidRPr="002F7B62">
        <w:rPr>
          <w:rFonts w:ascii="Times New Roman" w:hAnsi="Times New Roman"/>
        </w:rPr>
        <w:t>La formazione delle classi ed il controllo giudiziale</w:t>
      </w:r>
      <w:r w:rsidR="000558DE" w:rsidRPr="002F7B62">
        <w:rPr>
          <w:rFonts w:ascii="Times New Roman" w:hAnsi="Times New Roman"/>
        </w:rPr>
        <w:t xml:space="preserve">. Proposte ed offerte concorrenti. </w:t>
      </w:r>
      <w:r w:rsidRPr="002F7B62">
        <w:rPr>
          <w:rFonts w:ascii="Times New Roman" w:hAnsi="Times New Roman"/>
        </w:rPr>
        <w:t>Casi pratici</w:t>
      </w:r>
      <w:r w:rsidR="00402A8B" w:rsidRPr="002F7B62">
        <w:rPr>
          <w:rFonts w:ascii="Times New Roman" w:hAnsi="Times New Roman"/>
        </w:rPr>
        <w:t xml:space="preserve">. </w:t>
      </w:r>
      <w:r w:rsidRPr="002F7B62">
        <w:rPr>
          <w:rFonts w:ascii="Times New Roman" w:hAnsi="Times New Roman"/>
          <w:u w:val="single"/>
        </w:rPr>
        <w:t>Il concordato fallimentare</w:t>
      </w:r>
      <w:r w:rsidR="00402A8B" w:rsidRPr="002F7B62">
        <w:rPr>
          <w:rFonts w:ascii="Times New Roman" w:hAnsi="Times New Roman"/>
        </w:rPr>
        <w:t xml:space="preserve">. </w:t>
      </w:r>
      <w:r w:rsidRPr="002F7B62">
        <w:rPr>
          <w:rFonts w:ascii="Times New Roman" w:hAnsi="Times New Roman"/>
        </w:rPr>
        <w:t>I limiti ed i presupposti</w:t>
      </w:r>
      <w:r w:rsidR="00402A8B" w:rsidRPr="002F7B62">
        <w:rPr>
          <w:rFonts w:ascii="Times New Roman" w:hAnsi="Times New Roman"/>
        </w:rPr>
        <w:t xml:space="preserve">. </w:t>
      </w:r>
      <w:r w:rsidRPr="002F7B62">
        <w:rPr>
          <w:rFonts w:ascii="Times New Roman" w:hAnsi="Times New Roman"/>
        </w:rPr>
        <w:t>La proposta ed il giudizio di ammissibilità</w:t>
      </w:r>
      <w:r w:rsidR="00402A8B" w:rsidRPr="002F7B62">
        <w:rPr>
          <w:rFonts w:ascii="Times New Roman" w:hAnsi="Times New Roman"/>
        </w:rPr>
        <w:t xml:space="preserve">. </w:t>
      </w:r>
      <w:r w:rsidRPr="002F7B62">
        <w:rPr>
          <w:rFonts w:ascii="Times New Roman" w:hAnsi="Times New Roman"/>
        </w:rPr>
        <w:t>I pareri del Curatore</w:t>
      </w:r>
      <w:r w:rsidR="00402A8B" w:rsidRPr="002F7B62">
        <w:rPr>
          <w:rFonts w:ascii="Times New Roman" w:hAnsi="Times New Roman"/>
        </w:rPr>
        <w:t xml:space="preserve"> e del Comitato dei creditori. Proposte concorrenti. </w:t>
      </w:r>
      <w:r w:rsidRPr="002F7B62">
        <w:rPr>
          <w:rFonts w:ascii="Times New Roman" w:hAnsi="Times New Roman"/>
        </w:rPr>
        <w:t>La votazione e l’omologazione</w:t>
      </w:r>
      <w:r w:rsidR="00402A8B" w:rsidRPr="002F7B62">
        <w:rPr>
          <w:rFonts w:ascii="Times New Roman" w:hAnsi="Times New Roman"/>
        </w:rPr>
        <w:t xml:space="preserve">. </w:t>
      </w:r>
      <w:r w:rsidRPr="002F7B62">
        <w:rPr>
          <w:rFonts w:ascii="Times New Roman" w:hAnsi="Times New Roman"/>
        </w:rPr>
        <w:t>L’esecuzione</w:t>
      </w:r>
      <w:r w:rsidR="00402A8B" w:rsidRPr="002F7B62">
        <w:rPr>
          <w:rFonts w:ascii="Times New Roman" w:hAnsi="Times New Roman"/>
        </w:rPr>
        <w:t xml:space="preserve">. </w:t>
      </w:r>
      <w:r w:rsidRPr="002F7B62">
        <w:rPr>
          <w:rFonts w:ascii="Times New Roman" w:hAnsi="Times New Roman"/>
        </w:rPr>
        <w:t>Casi pratici</w:t>
      </w:r>
    </w:p>
    <w:p w14:paraId="049E4A0B" w14:textId="77777777" w:rsidR="00E6428C" w:rsidRPr="002F7B62" w:rsidRDefault="00E6428C" w:rsidP="00402A8B">
      <w:pPr>
        <w:spacing w:before="240" w:after="120"/>
        <w:rPr>
          <w:rFonts w:ascii="Times New Roman" w:hAnsi="Times New Roman"/>
          <w:b/>
          <w:i/>
        </w:rPr>
      </w:pPr>
      <w:r w:rsidRPr="002F7B62">
        <w:rPr>
          <w:rFonts w:ascii="Times New Roman" w:hAnsi="Times New Roman"/>
          <w:b/>
          <w:i/>
        </w:rPr>
        <w:t>BIBLIOGRAFIA</w:t>
      </w:r>
    </w:p>
    <w:p w14:paraId="78AA1CC5" w14:textId="77777777" w:rsidR="002F7B62" w:rsidRPr="002F7B62" w:rsidRDefault="002F7B62" w:rsidP="002F7B62">
      <w:pPr>
        <w:rPr>
          <w:rFonts w:ascii="Times New Roman" w:eastAsia="Calibri" w:hAnsi="Times New Roman"/>
          <w:lang w:eastAsia="en-US"/>
        </w:rPr>
      </w:pPr>
      <w:r w:rsidRPr="4E7515F5">
        <w:rPr>
          <w:rFonts w:ascii="Times New Roman" w:eastAsia="Calibri" w:hAnsi="Times New Roman"/>
          <w:lang w:eastAsia="en-US"/>
        </w:rPr>
        <w:t>La bibliografia di riferimento del corso verrà messa a disposizione in corrispondenza dell’inizio delle lezioni.</w:t>
      </w:r>
    </w:p>
    <w:p w14:paraId="0019AF6C" w14:textId="77777777" w:rsidR="00E6428C" w:rsidRPr="002F7B62" w:rsidRDefault="00E6428C" w:rsidP="4E7515F5">
      <w:pPr>
        <w:spacing w:before="240" w:after="120"/>
        <w:rPr>
          <w:rFonts w:ascii="Times New Roman" w:hAnsi="Times New Roman"/>
          <w:b/>
          <w:bCs/>
          <w:i/>
          <w:iCs/>
        </w:rPr>
      </w:pPr>
      <w:r w:rsidRPr="4E7515F5">
        <w:rPr>
          <w:rFonts w:ascii="Times New Roman" w:hAnsi="Times New Roman"/>
          <w:b/>
          <w:bCs/>
          <w:i/>
          <w:iCs/>
        </w:rPr>
        <w:t>DIDATTICA DEL CORSO</w:t>
      </w:r>
    </w:p>
    <w:p w14:paraId="206F23F3" w14:textId="77777777" w:rsidR="00E6428C" w:rsidRPr="006C710D" w:rsidRDefault="00E6428C" w:rsidP="1467960F">
      <w:pPr>
        <w:pStyle w:val="NormaleWeb"/>
        <w:jc w:val="both"/>
        <w:rPr>
          <w:sz w:val="22"/>
          <w:szCs w:val="22"/>
        </w:rPr>
      </w:pPr>
      <w:r w:rsidRPr="006C710D">
        <w:rPr>
          <w:sz w:val="22"/>
          <w:szCs w:val="22"/>
        </w:rPr>
        <w:t xml:space="preserve">Il corso si sviluppa attraverso lezioni frontali relative agli aspetti della disciplina rilevanti ed indispensabili per il raggiungimento degli obiettivi formativi specifici dell'insegnamento e globali del corso di studio. La didattica frontale è supportata da esercitazioni ed esperienze di taglio pratico. </w:t>
      </w:r>
    </w:p>
    <w:p w14:paraId="6F5A1473" w14:textId="77777777" w:rsidR="00E6428C" w:rsidRPr="006C710D" w:rsidRDefault="00E6428C" w:rsidP="1467960F">
      <w:pPr>
        <w:pStyle w:val="NormaleWeb"/>
        <w:jc w:val="both"/>
        <w:rPr>
          <w:sz w:val="22"/>
          <w:szCs w:val="22"/>
        </w:rPr>
      </w:pPr>
      <w:r w:rsidRPr="006C710D">
        <w:rPr>
          <w:sz w:val="22"/>
          <w:szCs w:val="22"/>
        </w:rPr>
        <w:t>Nel corso delle lezioni sono utilizzati vari strumenti per il miglioramento della didattica quali, ad es., presentazioni in power point proiettate in aula, schemi, indicazioni bibliografiche e quant'altro rite</w:t>
      </w:r>
      <w:r w:rsidR="00402A8B" w:rsidRPr="006C710D">
        <w:rPr>
          <w:sz w:val="22"/>
          <w:szCs w:val="22"/>
        </w:rPr>
        <w:t xml:space="preserve">nuto utile per il miglioramento </w:t>
      </w:r>
      <w:r w:rsidRPr="006C710D">
        <w:rPr>
          <w:sz w:val="22"/>
          <w:szCs w:val="22"/>
        </w:rPr>
        <w:t>dell'efficacia della didattica.</w:t>
      </w:r>
    </w:p>
    <w:p w14:paraId="45DF393D" w14:textId="77777777" w:rsidR="00E6428C" w:rsidRPr="002F7B62" w:rsidRDefault="00E6428C" w:rsidP="00402A8B">
      <w:pPr>
        <w:spacing w:before="240" w:after="120"/>
        <w:rPr>
          <w:rFonts w:ascii="Times New Roman" w:hAnsi="Times New Roman"/>
          <w:b/>
          <w:i/>
        </w:rPr>
      </w:pPr>
      <w:r w:rsidRPr="002F7B62">
        <w:rPr>
          <w:rFonts w:ascii="Times New Roman" w:hAnsi="Times New Roman"/>
          <w:b/>
          <w:i/>
        </w:rPr>
        <w:t>METODO E CRITERI DI VALUTAZIONE</w:t>
      </w:r>
    </w:p>
    <w:p w14:paraId="5C52207E" w14:textId="77777777" w:rsidR="00E6428C" w:rsidRPr="006C710D" w:rsidRDefault="00E6428C" w:rsidP="1467960F">
      <w:pPr>
        <w:pStyle w:val="NormaleWeb"/>
        <w:jc w:val="both"/>
        <w:rPr>
          <w:sz w:val="22"/>
          <w:szCs w:val="22"/>
        </w:rPr>
      </w:pPr>
      <w:r w:rsidRPr="006C710D">
        <w:rPr>
          <w:sz w:val="22"/>
          <w:szCs w:val="22"/>
        </w:rPr>
        <w:lastRenderedPageBreak/>
        <w:t>L'esame si svolge in forma scritta strutturato come segue:</w:t>
      </w:r>
      <w:r w:rsidR="00402A8B" w:rsidRPr="006C710D">
        <w:rPr>
          <w:sz w:val="22"/>
          <w:szCs w:val="22"/>
        </w:rPr>
        <w:t xml:space="preserve"> - </w:t>
      </w:r>
      <w:r w:rsidRPr="006C710D">
        <w:rPr>
          <w:sz w:val="22"/>
          <w:szCs w:val="22"/>
        </w:rPr>
        <w:t>4 domande aperte, di uguale peso, valutate con punteggio da 0 (mancata risposta) a 6 (rispos</w:t>
      </w:r>
      <w:r w:rsidR="00402A8B" w:rsidRPr="006C710D">
        <w:rPr>
          <w:sz w:val="22"/>
          <w:szCs w:val="22"/>
        </w:rPr>
        <w:t xml:space="preserve">ta piena ed ineccepibile); - </w:t>
      </w:r>
      <w:r w:rsidRPr="006C710D">
        <w:rPr>
          <w:sz w:val="22"/>
          <w:szCs w:val="22"/>
        </w:rPr>
        <w:t xml:space="preserve">5 domande chiuse, di eguale peso, valutate con punteggio da 0 (mancata risposta o errata risposta) a 1 (risposta corretta) </w:t>
      </w:r>
    </w:p>
    <w:p w14:paraId="1E234093" w14:textId="77777777" w:rsidR="00E6428C" w:rsidRPr="002F7B62" w:rsidRDefault="00E6428C" w:rsidP="00402A8B">
      <w:pPr>
        <w:spacing w:before="240" w:after="120"/>
        <w:rPr>
          <w:rFonts w:ascii="Times New Roman" w:hAnsi="Times New Roman"/>
          <w:b/>
          <w:i/>
        </w:rPr>
      </w:pPr>
      <w:r w:rsidRPr="002F7B62">
        <w:rPr>
          <w:rFonts w:ascii="Times New Roman" w:hAnsi="Times New Roman"/>
          <w:b/>
          <w:i/>
        </w:rPr>
        <w:t>AVVERTENZE E PREREQUISITI</w:t>
      </w:r>
    </w:p>
    <w:p w14:paraId="55CBA875" w14:textId="361657B5" w:rsidR="00E6428C" w:rsidRPr="006C710D" w:rsidRDefault="002F7B62" w:rsidP="1467960F">
      <w:pPr>
        <w:pStyle w:val="NormaleWeb"/>
        <w:jc w:val="both"/>
        <w:rPr>
          <w:sz w:val="22"/>
          <w:szCs w:val="22"/>
        </w:rPr>
      </w:pPr>
      <w:r w:rsidRPr="006C710D">
        <w:rPr>
          <w:sz w:val="22"/>
          <w:szCs w:val="22"/>
        </w:rPr>
        <w:t>L</w:t>
      </w:r>
      <w:r w:rsidR="00E6428C" w:rsidRPr="006C710D">
        <w:rPr>
          <w:sz w:val="22"/>
          <w:szCs w:val="22"/>
        </w:rPr>
        <w:t xml:space="preserve">o studente dovrà possedere </w:t>
      </w:r>
      <w:r w:rsidR="1F5D4D7D" w:rsidRPr="1467960F">
        <w:rPr>
          <w:sz w:val="22"/>
          <w:szCs w:val="22"/>
        </w:rPr>
        <w:t xml:space="preserve">le </w:t>
      </w:r>
      <w:r w:rsidR="00E6428C" w:rsidRPr="006C710D">
        <w:rPr>
          <w:sz w:val="22"/>
          <w:szCs w:val="22"/>
        </w:rPr>
        <w:t>conoscenze di base in materia di analisi di bilancio e di finanza aziendale. Costituiscono altresì utili conoscenze, per alcuni aspetti dei temi trattati, le nozioni base di diritto societario e di diritto tributario.</w:t>
      </w:r>
    </w:p>
    <w:p w14:paraId="0BAA9EFB" w14:textId="77777777" w:rsidR="002F7B62" w:rsidRPr="006C710D" w:rsidRDefault="002F7B62" w:rsidP="1467960F">
      <w:pPr>
        <w:pStyle w:val="Testo2"/>
        <w:ind w:firstLine="0"/>
        <w:rPr>
          <w:rFonts w:ascii="Times New Roman" w:hAnsi="Times New Roman"/>
          <w:sz w:val="22"/>
          <w:szCs w:val="22"/>
        </w:rPr>
      </w:pPr>
      <w:r w:rsidRPr="006C710D">
        <w:rPr>
          <w:rFonts w:ascii="Times New Roman" w:hAnsi="Times New Roman"/>
          <w:sz w:val="22"/>
          <w:szCs w:val="22"/>
        </w:rPr>
        <w:t>Il superamento del primo modulo dell’esame costituisce condizione necessaria per sostenere il secondo modulo.</w:t>
      </w:r>
    </w:p>
    <w:p w14:paraId="3DEEC669" w14:textId="77777777" w:rsidR="002F7B62" w:rsidRPr="002F7B62" w:rsidRDefault="002F7B62" w:rsidP="00402A8B">
      <w:pPr>
        <w:pStyle w:val="NormaleWeb"/>
        <w:jc w:val="both"/>
        <w:rPr>
          <w:sz w:val="20"/>
          <w:szCs w:val="20"/>
        </w:rPr>
      </w:pPr>
    </w:p>
    <w:p w14:paraId="225B1955" w14:textId="77777777" w:rsidR="00FA539F" w:rsidRPr="002F7B62" w:rsidRDefault="00FA539F" w:rsidP="00FA539F">
      <w:pPr>
        <w:spacing w:before="240" w:after="120" w:line="220" w:lineRule="exact"/>
        <w:rPr>
          <w:rFonts w:ascii="Times New Roman" w:eastAsia="MS Mincho" w:hAnsi="Times New Roman"/>
          <w:b/>
          <w:i/>
        </w:rPr>
      </w:pPr>
      <w:r w:rsidRPr="002F7B62">
        <w:rPr>
          <w:rFonts w:ascii="Times New Roman" w:eastAsia="MS Mincho" w:hAnsi="Times New Roman"/>
          <w:b/>
          <w:i/>
        </w:rPr>
        <w:t>ORARIO E LUOGO DI RICEVIMENTO DEGLI STUDENTI</w:t>
      </w:r>
    </w:p>
    <w:p w14:paraId="2E9B7C2B" w14:textId="77777777" w:rsidR="00FA539F" w:rsidRPr="002F7B62" w:rsidRDefault="00FA539F" w:rsidP="00FA539F">
      <w:pPr>
        <w:tabs>
          <w:tab w:val="clear" w:pos="284"/>
        </w:tabs>
        <w:spacing w:line="220" w:lineRule="exact"/>
        <w:rPr>
          <w:rFonts w:ascii="Times New Roman" w:hAnsi="Times New Roman"/>
          <w:noProof/>
        </w:rPr>
      </w:pPr>
      <w:r w:rsidRPr="002F7B62">
        <w:rPr>
          <w:rFonts w:ascii="Times New Roman" w:hAnsi="Times New Roman"/>
          <w:noProof/>
        </w:rPr>
        <w:t>Gli orari di ricevimento sono disponibili on line nella pagina personale del docente, consultabile al sito http://docenti.unicatt.it/</w:t>
      </w:r>
    </w:p>
    <w:p w14:paraId="3656B9AB" w14:textId="77777777" w:rsidR="005006A0" w:rsidRPr="002F7B62" w:rsidRDefault="005006A0" w:rsidP="00E6428C">
      <w:pPr>
        <w:autoSpaceDE w:val="0"/>
        <w:autoSpaceDN w:val="0"/>
        <w:adjustRightInd w:val="0"/>
        <w:ind w:left="567"/>
        <w:rPr>
          <w:rFonts w:ascii="Times New Roman" w:hAnsi="Times New Roman"/>
          <w:u w:val="single"/>
        </w:rPr>
      </w:pPr>
    </w:p>
    <w:sectPr w:rsidR="005006A0" w:rsidRPr="002F7B62" w:rsidSect="00506529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5F0D6" w14:textId="77777777" w:rsidR="008860C3" w:rsidRDefault="008860C3" w:rsidP="005C0B34">
      <w:pPr>
        <w:spacing w:line="240" w:lineRule="auto"/>
      </w:pPr>
      <w:r>
        <w:separator/>
      </w:r>
    </w:p>
  </w:endnote>
  <w:endnote w:type="continuationSeparator" w:id="0">
    <w:p w14:paraId="35F6E34A" w14:textId="77777777" w:rsidR="008860C3" w:rsidRDefault="008860C3" w:rsidP="005C0B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E3D82" w14:textId="77777777" w:rsidR="008860C3" w:rsidRDefault="008860C3" w:rsidP="005C0B34">
      <w:pPr>
        <w:spacing w:line="240" w:lineRule="auto"/>
      </w:pPr>
      <w:r>
        <w:separator/>
      </w:r>
    </w:p>
  </w:footnote>
  <w:footnote w:type="continuationSeparator" w:id="0">
    <w:p w14:paraId="5F814736" w14:textId="77777777" w:rsidR="008860C3" w:rsidRDefault="008860C3" w:rsidP="005C0B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B2831"/>
    <w:multiLevelType w:val="hybridMultilevel"/>
    <w:tmpl w:val="54EA2D42"/>
    <w:lvl w:ilvl="0" w:tplc="E8D4AAB4">
      <w:start w:val="4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B8"/>
    <w:rsid w:val="000027B8"/>
    <w:rsid w:val="00045AAB"/>
    <w:rsid w:val="000558DE"/>
    <w:rsid w:val="00091461"/>
    <w:rsid w:val="000A288C"/>
    <w:rsid w:val="000F1435"/>
    <w:rsid w:val="000F66E6"/>
    <w:rsid w:val="001155BA"/>
    <w:rsid w:val="001444EA"/>
    <w:rsid w:val="001512BA"/>
    <w:rsid w:val="001538DA"/>
    <w:rsid w:val="0015784C"/>
    <w:rsid w:val="001815B0"/>
    <w:rsid w:val="00182DE3"/>
    <w:rsid w:val="00192ACC"/>
    <w:rsid w:val="00193823"/>
    <w:rsid w:val="001A52DA"/>
    <w:rsid w:val="001E513F"/>
    <w:rsid w:val="0023531D"/>
    <w:rsid w:val="00262804"/>
    <w:rsid w:val="00274709"/>
    <w:rsid w:val="002874FE"/>
    <w:rsid w:val="002A2B18"/>
    <w:rsid w:val="002A2FEB"/>
    <w:rsid w:val="002D3EBF"/>
    <w:rsid w:val="002E67D4"/>
    <w:rsid w:val="002F7B62"/>
    <w:rsid w:val="0033549A"/>
    <w:rsid w:val="00350CA2"/>
    <w:rsid w:val="00364F41"/>
    <w:rsid w:val="0038058A"/>
    <w:rsid w:val="00385E9F"/>
    <w:rsid w:val="003E6878"/>
    <w:rsid w:val="00402A8B"/>
    <w:rsid w:val="0041193F"/>
    <w:rsid w:val="0046734E"/>
    <w:rsid w:val="004675F7"/>
    <w:rsid w:val="00491B27"/>
    <w:rsid w:val="004C1BAB"/>
    <w:rsid w:val="004C4FBB"/>
    <w:rsid w:val="005006A0"/>
    <w:rsid w:val="00506529"/>
    <w:rsid w:val="005116B8"/>
    <w:rsid w:val="005179B6"/>
    <w:rsid w:val="00524F43"/>
    <w:rsid w:val="00544B7C"/>
    <w:rsid w:val="00547FE9"/>
    <w:rsid w:val="005C0B34"/>
    <w:rsid w:val="005C0D59"/>
    <w:rsid w:val="005D0AEC"/>
    <w:rsid w:val="006118F9"/>
    <w:rsid w:val="00652DD0"/>
    <w:rsid w:val="00656460"/>
    <w:rsid w:val="00661869"/>
    <w:rsid w:val="00680070"/>
    <w:rsid w:val="00684C66"/>
    <w:rsid w:val="006C3AAF"/>
    <w:rsid w:val="006C3D87"/>
    <w:rsid w:val="006C6A98"/>
    <w:rsid w:val="006C710D"/>
    <w:rsid w:val="006E49EB"/>
    <w:rsid w:val="006F277A"/>
    <w:rsid w:val="00702760"/>
    <w:rsid w:val="0070548F"/>
    <w:rsid w:val="00740EEC"/>
    <w:rsid w:val="00752FC5"/>
    <w:rsid w:val="00763BA8"/>
    <w:rsid w:val="007A26DF"/>
    <w:rsid w:val="007A6A90"/>
    <w:rsid w:val="007B35B9"/>
    <w:rsid w:val="007B3F2B"/>
    <w:rsid w:val="007C6C8E"/>
    <w:rsid w:val="007F6DDE"/>
    <w:rsid w:val="00821A34"/>
    <w:rsid w:val="00857E6C"/>
    <w:rsid w:val="00870063"/>
    <w:rsid w:val="008860C3"/>
    <w:rsid w:val="008E6DF9"/>
    <w:rsid w:val="009026CB"/>
    <w:rsid w:val="00911761"/>
    <w:rsid w:val="0094137F"/>
    <w:rsid w:val="00975CE8"/>
    <w:rsid w:val="00983523"/>
    <w:rsid w:val="009A6300"/>
    <w:rsid w:val="009B1956"/>
    <w:rsid w:val="009E5B46"/>
    <w:rsid w:val="00A177C7"/>
    <w:rsid w:val="00A2329C"/>
    <w:rsid w:val="00A44682"/>
    <w:rsid w:val="00A45D43"/>
    <w:rsid w:val="00A646D4"/>
    <w:rsid w:val="00AA7116"/>
    <w:rsid w:val="00AB5A48"/>
    <w:rsid w:val="00B40BC5"/>
    <w:rsid w:val="00B44688"/>
    <w:rsid w:val="00B61FB2"/>
    <w:rsid w:val="00B64D70"/>
    <w:rsid w:val="00BD5DC5"/>
    <w:rsid w:val="00BF3A7C"/>
    <w:rsid w:val="00BF6323"/>
    <w:rsid w:val="00C82328"/>
    <w:rsid w:val="00CB0262"/>
    <w:rsid w:val="00CF7BEA"/>
    <w:rsid w:val="00DC3C3F"/>
    <w:rsid w:val="00DD1DF6"/>
    <w:rsid w:val="00DD21C2"/>
    <w:rsid w:val="00E068B9"/>
    <w:rsid w:val="00E2480F"/>
    <w:rsid w:val="00E25BAC"/>
    <w:rsid w:val="00E27CA6"/>
    <w:rsid w:val="00E311B2"/>
    <w:rsid w:val="00E37FB1"/>
    <w:rsid w:val="00E6428C"/>
    <w:rsid w:val="00EA1822"/>
    <w:rsid w:val="00ED08D7"/>
    <w:rsid w:val="00F50A98"/>
    <w:rsid w:val="00F57606"/>
    <w:rsid w:val="00F77A1D"/>
    <w:rsid w:val="00F874AE"/>
    <w:rsid w:val="00FA539F"/>
    <w:rsid w:val="00FF42B7"/>
    <w:rsid w:val="00FF6C3B"/>
    <w:rsid w:val="01752B08"/>
    <w:rsid w:val="13033030"/>
    <w:rsid w:val="1467960F"/>
    <w:rsid w:val="158F8DC3"/>
    <w:rsid w:val="192F71CA"/>
    <w:rsid w:val="1F5D4D7D"/>
    <w:rsid w:val="20A9329E"/>
    <w:rsid w:val="237E66D1"/>
    <w:rsid w:val="275997EC"/>
    <w:rsid w:val="2A482C25"/>
    <w:rsid w:val="2C244342"/>
    <w:rsid w:val="3C186E7B"/>
    <w:rsid w:val="4962E042"/>
    <w:rsid w:val="49DE9C0A"/>
    <w:rsid w:val="49E260CD"/>
    <w:rsid w:val="4D64BC71"/>
    <w:rsid w:val="4E7515F5"/>
    <w:rsid w:val="4F3FEAA3"/>
    <w:rsid w:val="531C4CF7"/>
    <w:rsid w:val="53628F8D"/>
    <w:rsid w:val="59B3B1EE"/>
    <w:rsid w:val="653BE5FA"/>
    <w:rsid w:val="69538AB2"/>
    <w:rsid w:val="737D0AC7"/>
    <w:rsid w:val="7859C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3C8D0D"/>
  <w15:docId w15:val="{FB2A5A79-E404-4A2E-883F-115E2703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tabs>
        <w:tab w:val="clear" w:pos="284"/>
      </w:tabs>
      <w:spacing w:before="120" w:line="240" w:lineRule="auto"/>
    </w:pPr>
    <w:rPr>
      <w:rFonts w:ascii="Times New Roman" w:hAnsi="Times New Roman"/>
      <w:sz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normale">
    <w:name w:val="Plain Text"/>
    <w:basedOn w:val="Normale"/>
    <w:link w:val="TestonormaleCarattere"/>
    <w:rsid w:val="00E068B9"/>
    <w:pPr>
      <w:tabs>
        <w:tab w:val="clear" w:pos="284"/>
      </w:tabs>
      <w:spacing w:line="240" w:lineRule="auto"/>
      <w:jc w:val="left"/>
    </w:pPr>
    <w:rPr>
      <w:rFonts w:ascii="Courier New" w:hAnsi="Courier New" w:cs="Courier New"/>
    </w:rPr>
  </w:style>
  <w:style w:type="character" w:styleId="Collegamentoipertestuale">
    <w:name w:val="Hyperlink"/>
    <w:rsid w:val="00911761"/>
    <w:rPr>
      <w:color w:val="0000FF"/>
      <w:u w:val="single"/>
    </w:rPr>
  </w:style>
  <w:style w:type="character" w:customStyle="1" w:styleId="TestonormaleCarattere">
    <w:name w:val="Testo normale Carattere"/>
    <w:link w:val="Testonormale"/>
    <w:rsid w:val="0041193F"/>
    <w:rPr>
      <w:rFonts w:ascii="Courier New" w:hAnsi="Courier New" w:cs="Courier New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182D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82DE3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semiHidden/>
    <w:unhideWhenUsed/>
    <w:rsid w:val="00350CA2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nhideWhenUsed/>
    <w:rsid w:val="005C0B3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C0B34"/>
    <w:rPr>
      <w:rFonts w:ascii="Times" w:hAnsi="Times"/>
    </w:rPr>
  </w:style>
  <w:style w:type="paragraph" w:styleId="Pidipagina">
    <w:name w:val="footer"/>
    <w:basedOn w:val="Normale"/>
    <w:link w:val="PidipaginaCarattere"/>
    <w:unhideWhenUsed/>
    <w:rsid w:val="005C0B3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5C0B34"/>
    <w:rPr>
      <w:rFonts w:ascii="Times" w:hAnsi="Times"/>
    </w:rPr>
  </w:style>
  <w:style w:type="paragraph" w:styleId="Paragrafoelenco">
    <w:name w:val="List Paragraph"/>
    <w:basedOn w:val="Normale"/>
    <w:uiPriority w:val="34"/>
    <w:qFormat/>
    <w:rsid w:val="005006A0"/>
    <w:pPr>
      <w:tabs>
        <w:tab w:val="clear" w:pos="284"/>
      </w:tabs>
      <w:spacing w:line="240" w:lineRule="auto"/>
      <w:ind w:left="720"/>
      <w:contextualSpacing/>
      <w:jc w:val="left"/>
    </w:pPr>
    <w:rPr>
      <w:rFonts w:ascii="Book Antiqua" w:eastAsiaTheme="minorHAnsi" w:hAnsi="Book Antiqua" w:cs="Calibri"/>
      <w:color w:val="000000"/>
      <w:sz w:val="22"/>
      <w:lang w:eastAsia="en-US"/>
    </w:rPr>
  </w:style>
  <w:style w:type="paragraph" w:styleId="NormaleWeb">
    <w:name w:val="Normal (Web)"/>
    <w:basedOn w:val="Normale"/>
    <w:uiPriority w:val="99"/>
    <w:unhideWhenUsed/>
    <w:rsid w:val="005006A0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006A0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5006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006A0"/>
    <w:pPr>
      <w:tabs>
        <w:tab w:val="clear" w:pos="284"/>
      </w:tabs>
      <w:spacing w:line="240" w:lineRule="auto"/>
      <w:jc w:val="left"/>
    </w:pPr>
    <w:rPr>
      <w:rFonts w:ascii="Book Antiqua" w:eastAsiaTheme="minorHAnsi" w:hAnsi="Book Antiqua" w:cs="Calibri"/>
      <w:color w:val="00000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006A0"/>
    <w:rPr>
      <w:rFonts w:ascii="Book Antiqua" w:eastAsiaTheme="minorHAnsi" w:hAnsi="Book Antiqua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7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8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docenti.unicatt.it/ita/claudio_frigeni" TargetMode="External"/><Relationship Id="rId5" Type="http://schemas.openxmlformats.org/officeDocument/2006/relationships/styles" Target="styles.xml"/><Relationship Id="rId10" Type="http://schemas.openxmlformats.org/officeDocument/2006/relationships/hyperlink" Target="http://docenti.unicatt.it/ita/claudio_frigeni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CA1C9A-A954-431E-94D2-EB0FEF2836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25DAB4-7A9A-42F9-B8AE-0DA0EF7B8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E906C-2B77-42C9-B366-788AA62DD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6</Pages>
  <Words>1936</Words>
  <Characters>11041</Characters>
  <Application>Microsoft Office Word</Application>
  <DocSecurity>0</DocSecurity>
  <Lines>92</Lines>
  <Paragraphs>25</Paragraphs>
  <ScaleCrop>false</ScaleCrop>
  <Company>U.C.S.C. MILANO</Company>
  <LinksUpToDate>false</LinksUpToDate>
  <CharactersWithSpaces>12952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Piccolini Luisella</cp:lastModifiedBy>
  <cp:revision>7</cp:revision>
  <cp:lastPrinted>2014-04-22T09:45:00Z</cp:lastPrinted>
  <dcterms:created xsi:type="dcterms:W3CDTF">2019-09-19T22:40:00Z</dcterms:created>
  <dcterms:modified xsi:type="dcterms:W3CDTF">2020-08-27T13:34:00Z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