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90F5" w14:textId="50D11AA2" w:rsidR="00BC6DC9" w:rsidRPr="00C84D5C" w:rsidRDefault="00BC6DC9" w:rsidP="00BC6DC9">
      <w:pPr>
        <w:pStyle w:val="Titolo1"/>
      </w:pPr>
      <w:r w:rsidRPr="00C84D5C">
        <w:t xml:space="preserve">Diritto Tributario Internazionale </w:t>
      </w:r>
      <w:r w:rsidR="001A2EC5" w:rsidRPr="00C84D5C">
        <w:t xml:space="preserve">e </w:t>
      </w:r>
      <w:r w:rsidRPr="00C84D5C">
        <w:t>Comparato</w:t>
      </w:r>
    </w:p>
    <w:p w14:paraId="2FC9CA4A" w14:textId="4AC4FFAC" w:rsidR="00BC6DC9" w:rsidRPr="00C84D5C" w:rsidRDefault="00BC6DC9" w:rsidP="00BC6DC9">
      <w:pPr>
        <w:pStyle w:val="Titolo2"/>
      </w:pPr>
      <w:r w:rsidRPr="00C84D5C">
        <w:t xml:space="preserve">Prof. </w:t>
      </w:r>
      <w:r w:rsidR="00935DFF">
        <w:t>Guglielmo Maisto</w:t>
      </w:r>
    </w:p>
    <w:p w14:paraId="63F43F25" w14:textId="77777777" w:rsidR="007C2FDA" w:rsidRDefault="007C2FDA" w:rsidP="007C2FDA">
      <w:pPr>
        <w:spacing w:before="240" w:after="120"/>
        <w:outlineLvl w:val="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2769C6" w14:textId="77777777" w:rsidR="007C2FDA" w:rsidRDefault="007C2FDA" w:rsidP="007C2FDA">
      <w:r w:rsidRPr="001A2EC5">
        <w:t>Il corso si p</w:t>
      </w:r>
      <w:r>
        <w:t>ropone di fornire allo studente i principi fondamentali del diritto tributario internazionale e comparato e le principali norme di diritto interno e pattizio che regolano la potestà impositiva italiana con riferimento all’applicazione delle imposte sui redditi a fattispecie connotate da elementi di estraneità all’ordinamento nazionale.</w:t>
      </w:r>
    </w:p>
    <w:p w14:paraId="7F11AA04" w14:textId="77777777" w:rsidR="007C2FDA" w:rsidRDefault="007C2FDA" w:rsidP="007C2FDA">
      <w:pPr>
        <w:rPr>
          <w:b/>
          <w:i/>
          <w:sz w:val="18"/>
        </w:rPr>
      </w:pPr>
    </w:p>
    <w:p w14:paraId="63B45A88" w14:textId="77777777" w:rsidR="007C2FDA" w:rsidRDefault="007C2FDA" w:rsidP="007C2FDA">
      <w:r w:rsidRPr="00DC2AF0">
        <w:t>Al termine dell’insegnamento, lo studente sarà in grado di</w:t>
      </w:r>
      <w:r>
        <w:t>:</w:t>
      </w:r>
    </w:p>
    <w:p w14:paraId="1901EFA5" w14:textId="77777777" w:rsidR="007C2FDA" w:rsidRDefault="007C2FDA" w:rsidP="007C2FDA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applicare i principi fondamentali del diritto tributario internazionale; </w:t>
      </w:r>
    </w:p>
    <w:p w14:paraId="7A53576B" w14:textId="77777777" w:rsidR="007C2FDA" w:rsidRDefault="007C2FDA" w:rsidP="007C2FDA">
      <w:pPr>
        <w:numPr>
          <w:ilvl w:val="0"/>
          <w:numId w:val="1"/>
        </w:numPr>
        <w:tabs>
          <w:tab w:val="num" w:pos="142"/>
        </w:tabs>
        <w:ind w:left="142" w:hanging="142"/>
      </w:pPr>
      <w:r>
        <w:t>procedere alla comparazione degli istituti di diritto tributario sostanziale di diversi ordinamenti nazionali e di diverse convenzioni per eliminare le doppie imposizioni;</w:t>
      </w:r>
    </w:p>
    <w:p w14:paraId="6A4D92D6" w14:textId="77777777" w:rsidR="007C2FDA" w:rsidRDefault="007C2FDA" w:rsidP="007C2FDA">
      <w:pPr>
        <w:numPr>
          <w:ilvl w:val="0"/>
          <w:numId w:val="1"/>
        </w:numPr>
        <w:tabs>
          <w:tab w:val="num" w:pos="142"/>
        </w:tabs>
        <w:ind w:left="142" w:hanging="142"/>
      </w:pPr>
      <w:r>
        <w:t>applicare le norme intere concernenti la determinazione della residenza fiscale dei soggetti passivi di imposta;</w:t>
      </w:r>
    </w:p>
    <w:p w14:paraId="3D071C65" w14:textId="77777777" w:rsidR="007C2FDA" w:rsidRDefault="007C2FDA" w:rsidP="007C2FDA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applicare le norme intere concernenti la determinazione della fonte dei redditi posseduti da soggetti passivi non residenti; </w:t>
      </w:r>
    </w:p>
    <w:p w14:paraId="54D923CF" w14:textId="77777777" w:rsidR="007C2FDA" w:rsidRPr="00D54540" w:rsidRDefault="007C2FDA" w:rsidP="007C2FDA">
      <w:pPr>
        <w:numPr>
          <w:ilvl w:val="0"/>
          <w:numId w:val="1"/>
        </w:numPr>
        <w:tabs>
          <w:tab w:val="num" w:pos="142"/>
        </w:tabs>
        <w:ind w:left="142" w:hanging="142"/>
      </w:pPr>
      <w:r w:rsidRPr="00D54540">
        <w:t xml:space="preserve">applicare i principi fondamentali e le più rilevanti norme di </w:t>
      </w:r>
      <w:r w:rsidRPr="00D54540">
        <w:rPr>
          <w:i/>
        </w:rPr>
        <w:t xml:space="preserve">transfer </w:t>
      </w:r>
      <w:proofErr w:type="spellStart"/>
      <w:r w:rsidRPr="00D54540">
        <w:rPr>
          <w:i/>
        </w:rPr>
        <w:t>pricing</w:t>
      </w:r>
      <w:proofErr w:type="spellEnd"/>
      <w:r w:rsidRPr="00D54540">
        <w:t xml:space="preserve"> previste dall’ordinamento interno e dalle apposite linee guida predisposte dall’OCSE;</w:t>
      </w:r>
    </w:p>
    <w:p w14:paraId="293FA33A" w14:textId="77777777" w:rsidR="007C2FDA" w:rsidRDefault="007C2FDA" w:rsidP="007C2FDA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interpretare ed applicare le disposizioni delle convenzioni per evitare le doppie imposizioni concluse dall’Italia; </w:t>
      </w:r>
    </w:p>
    <w:p w14:paraId="0965B88C" w14:textId="77777777" w:rsidR="007C2FDA" w:rsidRDefault="007C2FDA" w:rsidP="007C2FDA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utilizzare il Modello di Convenzione OCSE contro le doppie imposizioni ed il relativo Commentario al fine di interpretare le convenzioni per evitare le doppie imposizioni concluse dall’Italia. </w:t>
      </w:r>
    </w:p>
    <w:p w14:paraId="1E65897C" w14:textId="77777777" w:rsidR="007C2FDA" w:rsidRDefault="007C2FDA" w:rsidP="007C2F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581D7C" w14:textId="77777777" w:rsidR="007C2FDA" w:rsidRDefault="007C2FDA" w:rsidP="007C2FDA">
      <w:r>
        <w:t xml:space="preserve">Le imposte sul reddito nei rapporti internazionali. Fattori di connessione tra Stato e reddito. Doppia imposizione giuridica (internazionale) ed economica. Metodi per eliminare la doppia imposizione giuridica. </w:t>
      </w:r>
    </w:p>
    <w:p w14:paraId="276FE3CF" w14:textId="77777777" w:rsidR="007C2FDA" w:rsidRDefault="007C2FDA" w:rsidP="007C2FDA">
      <w:r>
        <w:t>Diritto internazionale tributario e tributario internazionale. Le fonti del diritto internazionale tributario nell’ordinamento giuridico italiano. La disciplina nazionale: il concetto di residenza fiscale; la tassazione dei residenti sui redditi ovunque prodotti ed il credito per le imposte pagate all’estero; la tassazione dei redditi prodotti in Italia da persone non residenti.</w:t>
      </w:r>
    </w:p>
    <w:p w14:paraId="0A8333CD" w14:textId="77777777" w:rsidR="007C2FDA" w:rsidRDefault="007C2FDA" w:rsidP="007C2FDA">
      <w:r w:rsidRPr="00D54540">
        <w:t xml:space="preserve">Il </w:t>
      </w:r>
      <w:r w:rsidRPr="00D54540">
        <w:rPr>
          <w:i/>
        </w:rPr>
        <w:t xml:space="preserve">transfer </w:t>
      </w:r>
      <w:proofErr w:type="spellStart"/>
      <w:r w:rsidRPr="00D54540">
        <w:rPr>
          <w:i/>
        </w:rPr>
        <w:t>pricing</w:t>
      </w:r>
      <w:proofErr w:type="spellEnd"/>
      <w:r w:rsidRPr="00D54540">
        <w:t xml:space="preserve">. I principi generali. L’analisi di comparabilità. I metodi per determinare il prezzo di mercato delle operazioni </w:t>
      </w:r>
      <w:proofErr w:type="spellStart"/>
      <w:r w:rsidRPr="00D54540">
        <w:t>intercompany</w:t>
      </w:r>
      <w:proofErr w:type="spellEnd"/>
      <w:r w:rsidRPr="00D54540">
        <w:t xml:space="preserve">. La selezione del metodo più appropriato. Il procedimento amministrativo unilaterale o plurilaterale finalizzato all’eliminazione della doppia imposizione derivante dall’applicazione delle rettifiche di </w:t>
      </w:r>
      <w:proofErr w:type="spellStart"/>
      <w:r w:rsidRPr="00D54540">
        <w:rPr>
          <w:i/>
        </w:rPr>
        <w:t>trasfer</w:t>
      </w:r>
      <w:proofErr w:type="spellEnd"/>
      <w:r w:rsidRPr="00D54540">
        <w:rPr>
          <w:i/>
        </w:rPr>
        <w:t xml:space="preserve"> </w:t>
      </w:r>
      <w:proofErr w:type="spellStart"/>
      <w:r w:rsidRPr="00D54540">
        <w:rPr>
          <w:i/>
        </w:rPr>
        <w:t>pricing</w:t>
      </w:r>
      <w:proofErr w:type="spellEnd"/>
      <w:r w:rsidRPr="00D54540">
        <w:t>.</w:t>
      </w:r>
      <w:r>
        <w:t xml:space="preserve"> </w:t>
      </w:r>
    </w:p>
    <w:p w14:paraId="6666EA68" w14:textId="77777777" w:rsidR="007C2FDA" w:rsidRDefault="007C2FDA" w:rsidP="007C2FDA">
      <w:r>
        <w:t xml:space="preserve">I trattati internazionali contro la doppia imposizione. Inquadramento quali strumenti di diritto internazionale pubblico. La struttura e le finalità dei trattati. Il Modello di Convenzione OCSE ed il relativo Commentario. L’ambito soggettivo </w:t>
      </w:r>
      <w:proofErr w:type="spellStart"/>
      <w:r>
        <w:t>ed</w:t>
      </w:r>
      <w:proofErr w:type="spellEnd"/>
      <w:r>
        <w:t xml:space="preserve"> oggettivo di applicazione dei trattati. L’interpretazione dei trattati. Il concetto di residenza fiscale ai fini dell’applicazione dei trattati. Le regole distributive generalmente presenti nei trattati: redditi d’impresa e da professioni indipendenti; dividendi, interessi, canoni, redditi immobiliari, utili di capitale e altri redditi diversi; i redditi di lavoro subordinato, le pensioni, i redditi di artisti e sportivi; clausole di non discriminazione. L’applicazione dei trattati a casi triangolari. </w:t>
      </w:r>
    </w:p>
    <w:p w14:paraId="153B74B2" w14:textId="77777777" w:rsidR="007C2FDA" w:rsidRDefault="007C2FDA" w:rsidP="007C2FDA">
      <w:r>
        <w:t>Elusione ed evasione fiscale nei rapporti internazionali. Il rapporto tra norme nazionali antielusive e trattati. L’abuso dei trattati. La collaborazione tra Stati per combattere l’elusione e l’evasione fiscale. La concorrenza fiscale dannosa e le azioni intraprese in ambito internazionale per contrastarla.</w:t>
      </w:r>
    </w:p>
    <w:p w14:paraId="24F88D22" w14:textId="77777777" w:rsidR="007C2FDA" w:rsidRDefault="007C2FDA" w:rsidP="007C2FDA">
      <w:r w:rsidRPr="00CE2CD2">
        <w:t xml:space="preserve">La disciplina dei prezzi di trasferimento. </w:t>
      </w:r>
    </w:p>
    <w:p w14:paraId="6E4B1B3A" w14:textId="77777777" w:rsidR="007C2FDA" w:rsidRDefault="007C2FDA" w:rsidP="007C2FDA">
      <w:r>
        <w:t>I presupposti e gli effetti del Piano di Azione BEPS (</w:t>
      </w:r>
      <w:r w:rsidRPr="0070465F">
        <w:rPr>
          <w:i/>
        </w:rPr>
        <w:t xml:space="preserve">Base </w:t>
      </w:r>
      <w:proofErr w:type="spellStart"/>
      <w:r w:rsidRPr="0070465F">
        <w:rPr>
          <w:i/>
        </w:rPr>
        <w:t>Erosion</w:t>
      </w:r>
      <w:proofErr w:type="spellEnd"/>
      <w:r w:rsidRPr="0070465F">
        <w:rPr>
          <w:i/>
        </w:rPr>
        <w:t xml:space="preserve"> and Profit </w:t>
      </w:r>
      <w:proofErr w:type="spellStart"/>
      <w:r w:rsidRPr="0070465F">
        <w:rPr>
          <w:i/>
        </w:rPr>
        <w:t>Shifting</w:t>
      </w:r>
      <w:proofErr w:type="spellEnd"/>
      <w:r>
        <w:t>).</w:t>
      </w:r>
    </w:p>
    <w:p w14:paraId="52608405" w14:textId="77777777" w:rsidR="007C2FDA" w:rsidRDefault="007C2FDA" w:rsidP="007C2FDA"/>
    <w:p w14:paraId="5BB588B5" w14:textId="77777777" w:rsidR="007C2FDA" w:rsidRDefault="007C2FDA" w:rsidP="007C2FD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E4A803D" w14:textId="77777777" w:rsidR="007C2FDA" w:rsidRDefault="007C2FDA" w:rsidP="007C2FDA">
      <w:pPr>
        <w:pStyle w:val="Testo1"/>
        <w:ind w:left="0" w:firstLine="0"/>
        <w:rPr>
          <w:szCs w:val="18"/>
        </w:rPr>
      </w:pPr>
      <w:r>
        <w:rPr>
          <w:smallCaps/>
          <w:sz w:val="16"/>
        </w:rPr>
        <w:t>G. Maisto</w:t>
      </w:r>
      <w:r>
        <w:rPr>
          <w:smallCaps/>
          <w:sz w:val="16"/>
          <w:szCs w:val="14"/>
        </w:rPr>
        <w:t xml:space="preserve"> </w:t>
      </w:r>
      <w:r>
        <w:rPr>
          <w:smallCaps/>
          <w:sz w:val="16"/>
        </w:rPr>
        <w:t>(</w:t>
      </w:r>
      <w:r>
        <w:rPr>
          <w:sz w:val="16"/>
        </w:rPr>
        <w:t>a cura di),</w:t>
      </w:r>
      <w:r>
        <w:rPr>
          <w:i/>
        </w:rPr>
        <w:t xml:space="preserve"> </w:t>
      </w:r>
      <w:r w:rsidRPr="0070465F">
        <w:rPr>
          <w:i/>
          <w:iCs/>
          <w:szCs w:val="18"/>
        </w:rPr>
        <w:t>Convenzioni internazionali per evitare le doppie imposizioni</w:t>
      </w:r>
      <w:r>
        <w:rPr>
          <w:i/>
          <w:iCs/>
          <w:szCs w:val="18"/>
        </w:rPr>
        <w:t>,</w:t>
      </w:r>
      <w:r>
        <w:rPr>
          <w:iCs/>
          <w:szCs w:val="18"/>
        </w:rPr>
        <w:t xml:space="preserve"> </w:t>
      </w:r>
      <w:r>
        <w:rPr>
          <w:szCs w:val="18"/>
        </w:rPr>
        <w:t>Giuffrè editore, Milano, ultima edizione.</w:t>
      </w:r>
    </w:p>
    <w:p w14:paraId="6B2680FE" w14:textId="77777777" w:rsidR="007C2FDA" w:rsidRDefault="007C2FDA" w:rsidP="007C2FDA">
      <w:pPr>
        <w:pStyle w:val="Testo1"/>
        <w:ind w:left="0" w:firstLine="0"/>
        <w:rPr>
          <w:szCs w:val="18"/>
        </w:rPr>
      </w:pPr>
      <w:r>
        <w:rPr>
          <w:szCs w:val="18"/>
        </w:rPr>
        <w:t xml:space="preserve">Materiale didattico integrativo sarà reso disponibile successivamente sulla pagina virtuale del docente (sito </w:t>
      </w:r>
      <w:hyperlink r:id="rId8" w:history="1">
        <w:r>
          <w:rPr>
            <w:rStyle w:val="Collegamentoipertestuale"/>
            <w:rFonts w:eastAsiaTheme="majorEastAsia"/>
            <w:i/>
            <w:szCs w:val="18"/>
          </w:rPr>
          <w:t>www.unicatt.it</w:t>
        </w:r>
      </w:hyperlink>
      <w:r>
        <w:rPr>
          <w:szCs w:val="18"/>
        </w:rPr>
        <w:t>).</w:t>
      </w:r>
    </w:p>
    <w:p w14:paraId="3F2F9280" w14:textId="77777777" w:rsidR="007C2FDA" w:rsidRDefault="007C2FDA" w:rsidP="007C2FDA">
      <w:pPr>
        <w:pStyle w:val="Testo1"/>
        <w:ind w:left="0" w:firstLine="0"/>
        <w:rPr>
          <w:szCs w:val="18"/>
        </w:rPr>
      </w:pPr>
    </w:p>
    <w:p w14:paraId="1F1406A7" w14:textId="77777777" w:rsidR="007C2FDA" w:rsidRDefault="007C2FDA" w:rsidP="007C2FD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4FF973" w14:textId="77777777" w:rsidR="007C2FDA" w:rsidRDefault="007C2FDA" w:rsidP="007C2FDA">
      <w:pPr>
        <w:pStyle w:val="Testo2"/>
        <w:ind w:firstLine="0"/>
      </w:pPr>
      <w:r>
        <w:t>Il programma verrà illustrato nel corso delle lezioni in aula. Nel corso delle lezioni verranno utilizzate slides e verrà di volta in volta commentato materiale integrativo reso disponibile dal docente.</w:t>
      </w:r>
    </w:p>
    <w:p w14:paraId="3D21A73D" w14:textId="77777777" w:rsidR="007C2FDA" w:rsidRDefault="007C2FDA" w:rsidP="007C2FDA">
      <w:pPr>
        <w:pStyle w:val="Testo2"/>
        <w:ind w:firstLine="0"/>
      </w:pPr>
    </w:p>
    <w:p w14:paraId="4F19AFAB" w14:textId="77777777" w:rsidR="007C2FDA" w:rsidRPr="00020876" w:rsidRDefault="007C2FDA" w:rsidP="007C2FDA">
      <w:pPr>
        <w:spacing w:before="240" w:after="120" w:line="220" w:lineRule="exact"/>
        <w:rPr>
          <w:b/>
          <w:i/>
          <w:sz w:val="18"/>
        </w:rPr>
      </w:pPr>
      <w:r w:rsidRPr="00020876">
        <w:rPr>
          <w:b/>
          <w:i/>
          <w:sz w:val="18"/>
        </w:rPr>
        <w:t>METODO E CRITERI DI VALUTAZIONE</w:t>
      </w:r>
    </w:p>
    <w:p w14:paraId="27750B2A" w14:textId="77777777" w:rsidR="007C2FDA" w:rsidRDefault="007C2FDA" w:rsidP="007C2FDA">
      <w:pPr>
        <w:pStyle w:val="Testo2"/>
        <w:ind w:firstLine="0"/>
      </w:pPr>
      <w:r>
        <w:t xml:space="preserve">L’esame si svolge in forma scritta ed è composto da due casi pratici riguardanti la tassazione dei non residenti per i redditi prodotti in Italia, la tassazione dei residenti per i redditi prodotti all’estero e l’applicazione delle convenzioni internazionali contro la doppia imposizione. </w:t>
      </w:r>
    </w:p>
    <w:p w14:paraId="503A0E24" w14:textId="77777777" w:rsidR="007C2FDA" w:rsidRDefault="007C2FDA" w:rsidP="007C2FDA">
      <w:pPr>
        <w:pStyle w:val="Testo2"/>
        <w:ind w:firstLine="0"/>
      </w:pPr>
      <w:r>
        <w:t>La durata prevista per l’esame è due ore.</w:t>
      </w:r>
    </w:p>
    <w:p w14:paraId="5E3D6AA5" w14:textId="77777777" w:rsidR="007C2FDA" w:rsidRDefault="007C2FDA" w:rsidP="007C2FDA">
      <w:pPr>
        <w:pStyle w:val="Testo2"/>
        <w:ind w:firstLine="0"/>
      </w:pPr>
      <w:r w:rsidRPr="00020876">
        <w:t xml:space="preserve">Ai fini della valutazione saranno presi in considerazione la pertinenza e la precisione delle risposte, l’uso appropriato della terminologia tecnica, la </w:t>
      </w:r>
      <w:r>
        <w:t>struttura e la coerenza degli argomenti sviluppati</w:t>
      </w:r>
      <w:r w:rsidRPr="00020876">
        <w:t>, i rif</w:t>
      </w:r>
      <w:r>
        <w:t>erimenti a documenti (sentenze,</w:t>
      </w:r>
      <w:r w:rsidRPr="00020876">
        <w:t xml:space="preserve"> prassi amministrativa</w:t>
      </w:r>
      <w:r>
        <w:t>, Commentario OCSE</w:t>
      </w:r>
      <w:r w:rsidRPr="00020876">
        <w:t>) citati nel corso delle lezioni e forniti nel materiale di studio (su blackboard).</w:t>
      </w:r>
    </w:p>
    <w:p w14:paraId="75312789" w14:textId="77777777" w:rsidR="007C2FDA" w:rsidRDefault="007C2FDA" w:rsidP="007C2FDA">
      <w:pPr>
        <w:pStyle w:val="Testo2"/>
        <w:ind w:firstLine="0"/>
      </w:pPr>
    </w:p>
    <w:p w14:paraId="79C6ACAD" w14:textId="77777777" w:rsidR="007C2FDA" w:rsidRPr="00670BE9" w:rsidRDefault="007C2FDA" w:rsidP="007C2FDA">
      <w:pPr>
        <w:spacing w:before="240" w:after="120" w:line="220" w:lineRule="exact"/>
        <w:rPr>
          <w:b/>
          <w:i/>
          <w:sz w:val="18"/>
        </w:rPr>
      </w:pPr>
      <w:r w:rsidRPr="00670BE9">
        <w:rPr>
          <w:b/>
          <w:i/>
          <w:sz w:val="18"/>
        </w:rPr>
        <w:t>AVVERTENZE E PREREQUISITI</w:t>
      </w:r>
    </w:p>
    <w:p w14:paraId="55DB5711" w14:textId="77777777" w:rsidR="007C2FDA" w:rsidRDefault="007C2FDA" w:rsidP="007C2FDA">
      <w:pPr>
        <w:pStyle w:val="Testo2"/>
        <w:spacing w:before="120"/>
        <w:ind w:firstLine="0"/>
      </w:pPr>
      <w:r>
        <w:t>Nel corso delle lezioni in aula verrà distribuito agli studenti materiale integrativo utilizzato nel corso delle lezioni.</w:t>
      </w:r>
    </w:p>
    <w:p w14:paraId="5AA80882" w14:textId="77777777" w:rsidR="007C2FDA" w:rsidRPr="00020876" w:rsidRDefault="007C2FDA" w:rsidP="007C2FDA">
      <w:pPr>
        <w:pStyle w:val="Testo2"/>
        <w:spacing w:before="120"/>
        <w:ind w:firstLine="0"/>
      </w:pPr>
      <w:r w:rsidRPr="00020876">
        <w:t xml:space="preserve">L’insegnamento necessita della conoscenza dei principi </w:t>
      </w:r>
      <w:r>
        <w:t>di diritto tributario relativi all’imposta sul reddito delle persone fisiche (Irpef) ed all’imposta sul reddito delle società (Ires).</w:t>
      </w:r>
    </w:p>
    <w:p w14:paraId="7B5B3B30" w14:textId="77777777" w:rsidR="007C2FDA" w:rsidRDefault="007C2FDA" w:rsidP="007C2FDA"/>
    <w:p w14:paraId="75FAAA14" w14:textId="77777777" w:rsidR="007C2FDA" w:rsidRPr="00670BE9" w:rsidRDefault="007C2FDA" w:rsidP="007C2FDA">
      <w:pPr>
        <w:spacing w:before="240" w:after="120" w:line="220" w:lineRule="exact"/>
        <w:rPr>
          <w:b/>
          <w:i/>
          <w:sz w:val="18"/>
        </w:rPr>
      </w:pPr>
      <w:r w:rsidRPr="00670BE9">
        <w:rPr>
          <w:b/>
          <w:i/>
          <w:sz w:val="18"/>
        </w:rPr>
        <w:t>ORARIO E LUOGO DI RICEVIMENTO DEGLI STUDENTI</w:t>
      </w:r>
    </w:p>
    <w:p w14:paraId="2C5BB508" w14:textId="77777777" w:rsidR="007C2FDA" w:rsidRDefault="007C2FDA" w:rsidP="007C2FDA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Gli orari di ricevimento sono disponibili on line nella pagina personale del docente.</w:t>
      </w:r>
    </w:p>
    <w:p w14:paraId="553CBFCF" w14:textId="77777777" w:rsidR="007C2FDA" w:rsidRDefault="007C2FDA" w:rsidP="007C2FDA">
      <w:pPr>
        <w:pStyle w:val="Testo2"/>
        <w:rPr>
          <w:rFonts w:ascii="Times New Roman" w:hAnsi="Times New Roman"/>
          <w:szCs w:val="18"/>
        </w:rPr>
      </w:pPr>
    </w:p>
    <w:p w14:paraId="52F9ADAB" w14:textId="77777777" w:rsidR="00C94510" w:rsidRPr="00BC6DC9" w:rsidRDefault="00C94510" w:rsidP="007C2FDA">
      <w:pPr>
        <w:spacing w:before="240" w:after="120"/>
        <w:outlineLvl w:val="0"/>
      </w:pPr>
      <w:bookmarkStart w:id="0" w:name="_GoBack"/>
      <w:bookmarkEnd w:id="0"/>
    </w:p>
    <w:sectPr w:rsidR="00C94510" w:rsidRPr="00BC6DC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8A"/>
    <w:rsid w:val="00003E32"/>
    <w:rsid w:val="00020876"/>
    <w:rsid w:val="000A1063"/>
    <w:rsid w:val="000B6261"/>
    <w:rsid w:val="000C0845"/>
    <w:rsid w:val="001A2EC5"/>
    <w:rsid w:val="00252B37"/>
    <w:rsid w:val="00367109"/>
    <w:rsid w:val="003B2007"/>
    <w:rsid w:val="003E0AAA"/>
    <w:rsid w:val="00442B47"/>
    <w:rsid w:val="00560947"/>
    <w:rsid w:val="005B17A1"/>
    <w:rsid w:val="006501F6"/>
    <w:rsid w:val="00670BE9"/>
    <w:rsid w:val="0070465F"/>
    <w:rsid w:val="007C2FDA"/>
    <w:rsid w:val="0084513F"/>
    <w:rsid w:val="00854F7D"/>
    <w:rsid w:val="00876E74"/>
    <w:rsid w:val="008A6800"/>
    <w:rsid w:val="008E3B3F"/>
    <w:rsid w:val="009207AE"/>
    <w:rsid w:val="00935DFF"/>
    <w:rsid w:val="00A67B8A"/>
    <w:rsid w:val="00A87864"/>
    <w:rsid w:val="00B048C0"/>
    <w:rsid w:val="00B06CA5"/>
    <w:rsid w:val="00B8760D"/>
    <w:rsid w:val="00BB0C3B"/>
    <w:rsid w:val="00BC6DC9"/>
    <w:rsid w:val="00BF0F45"/>
    <w:rsid w:val="00BF1897"/>
    <w:rsid w:val="00C84D5C"/>
    <w:rsid w:val="00C94510"/>
    <w:rsid w:val="00CD4088"/>
    <w:rsid w:val="00CE76BB"/>
    <w:rsid w:val="00D0154C"/>
    <w:rsid w:val="00DA3938"/>
    <w:rsid w:val="00DB45E0"/>
    <w:rsid w:val="00E15F31"/>
    <w:rsid w:val="00E42AE0"/>
    <w:rsid w:val="02CB577B"/>
    <w:rsid w:val="1971BD96"/>
    <w:rsid w:val="20FF6873"/>
    <w:rsid w:val="3F9B99A1"/>
    <w:rsid w:val="413B017A"/>
    <w:rsid w:val="4E17B98C"/>
    <w:rsid w:val="66A8B1AA"/>
    <w:rsid w:val="6C27E4FE"/>
    <w:rsid w:val="73DBC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E4D8F"/>
  <w15:docId w15:val="{085D43F9-D98C-4541-9C38-0B47CAED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spacing w:before="240" w:after="120" w:line="240" w:lineRule="atLeast"/>
      <w:outlineLvl w:val="4"/>
    </w:pPr>
    <w:rPr>
      <w:b/>
      <w:i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character" w:customStyle="1" w:styleId="Titolo1Carattere">
    <w:name w:val="Titolo 1 Carattere"/>
    <w:link w:val="Titolo1"/>
    <w:rsid w:val="00E15F31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E15F31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E42AE0"/>
    <w:rPr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42AE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6DC9"/>
    <w:pPr>
      <w:tabs>
        <w:tab w:val="clear" w:pos="284"/>
      </w:tabs>
      <w:spacing w:before="144" w:after="288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B20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BDE39-6190-4CD3-8B08-5A26C3CD8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D3F07-C32B-4003-BB01-44143F0B1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E1C6E-730F-4E98-A1B2-FF42FFE55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4</TotalTime>
  <Pages>3</Pages>
  <Words>725</Words>
  <Characters>4680</Characters>
  <Application>Microsoft Office Word</Application>
  <DocSecurity>0</DocSecurity>
  <Lines>39</Lines>
  <Paragraphs>10</Paragraphs>
  <ScaleCrop>false</ScaleCrop>
  <Company>U.C.S.C. MILANO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Tributario Internazionale Comparato</dc:title>
  <dc:creator>Direzione</dc:creator>
  <cp:lastModifiedBy>Piccolini Luisella</cp:lastModifiedBy>
  <cp:revision>7</cp:revision>
  <cp:lastPrinted>2008-06-09T06:39:00Z</cp:lastPrinted>
  <dcterms:created xsi:type="dcterms:W3CDTF">2020-05-23T14:02:00Z</dcterms:created>
  <dcterms:modified xsi:type="dcterms:W3CDTF">2021-02-10T08:28:00Z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