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86" w:rsidRDefault="003438B7">
      <w:pPr>
        <w:pStyle w:val="Titolo1"/>
      </w:pPr>
      <w:r>
        <w:t>.- Economia e Politica Agraria</w:t>
      </w:r>
      <w:r w:rsidR="00DB2204">
        <w:t xml:space="preserve"> con Elementi di Estimo</w:t>
      </w:r>
    </w:p>
    <w:p w:rsidR="003438B7" w:rsidRDefault="003438B7" w:rsidP="003438B7">
      <w:pPr>
        <w:pStyle w:val="Titolo2"/>
      </w:pPr>
      <w:r>
        <w:t>Prof</w:t>
      </w:r>
      <w:r w:rsidR="000C2629">
        <w:t>f</w:t>
      </w:r>
      <w:r>
        <w:t xml:space="preserve">. </w:t>
      </w:r>
      <w:r w:rsidR="00F54D03">
        <w:t>Paolo Sckokai</w:t>
      </w:r>
      <w:r w:rsidR="00B138CD">
        <w:t>– Gabriele Canali</w:t>
      </w:r>
    </w:p>
    <w:p w:rsidR="00B138CD" w:rsidRDefault="00B138CD" w:rsidP="00B138CD">
      <w:pPr>
        <w:pStyle w:val="Titolo1"/>
      </w:pPr>
      <w:r>
        <w:t>.- Mod. 1: Economia e Politica Agraria</w:t>
      </w:r>
      <w:r w:rsidRPr="00B138CD">
        <w:t xml:space="preserve"> </w:t>
      </w:r>
    </w:p>
    <w:p w:rsidR="00B138CD" w:rsidRPr="00B138CD" w:rsidRDefault="00B138CD" w:rsidP="00B138CD">
      <w:pPr>
        <w:pStyle w:val="Titolo2"/>
      </w:pPr>
      <w:r>
        <w:t xml:space="preserve">Proff. Paolo Sckokai </w:t>
      </w:r>
    </w:p>
    <w:p w:rsidR="00B138CD" w:rsidRDefault="00B138CD" w:rsidP="00B138CD">
      <w:pPr>
        <w:spacing w:before="240" w:after="120"/>
        <w:rPr>
          <w:b/>
          <w:sz w:val="18"/>
        </w:rPr>
      </w:pPr>
      <w:r>
        <w:rPr>
          <w:b/>
          <w:i/>
          <w:sz w:val="18"/>
        </w:rPr>
        <w:t>OBIETTIVO DEL CORSO E RISULTATI DI APPRENDIMENTO ATTESI</w:t>
      </w:r>
    </w:p>
    <w:p w:rsidR="007C3512" w:rsidRDefault="003438B7" w:rsidP="00F67E57">
      <w:r w:rsidRPr="00BA2C7A">
        <w:tab/>
        <w:t xml:space="preserve">Il corso </w:t>
      </w:r>
      <w:r w:rsidR="001D3555">
        <w:t>introduce gli studenti ai meccanismi economic</w:t>
      </w:r>
      <w:r w:rsidR="00AB019C">
        <w:t>i</w:t>
      </w:r>
      <w:r w:rsidR="001D3555">
        <w:t xml:space="preserve"> che </w:t>
      </w:r>
      <w:r w:rsidR="007C3512">
        <w:t xml:space="preserve">caratterizzano il sistema agro-alimentare e i suoi settori </w:t>
      </w:r>
      <w:r w:rsidR="001D3555">
        <w:t>p</w:t>
      </w:r>
      <w:r w:rsidR="00AB019C">
        <w:t>rincipali</w:t>
      </w:r>
      <w:r w:rsidR="007C3512">
        <w:t xml:space="preserve"> di attività</w:t>
      </w:r>
      <w:r w:rsidR="00AB019C">
        <w:t>: agricoltura, industr</w:t>
      </w:r>
      <w:r w:rsidR="001D3555">
        <w:t>i</w:t>
      </w:r>
      <w:r w:rsidR="00AB019C">
        <w:t>a</w:t>
      </w:r>
      <w:r w:rsidR="001D3555">
        <w:t xml:space="preserve"> alimentare, distribuzione commerciale, consumatori finali</w:t>
      </w:r>
      <w:r w:rsidR="00AB019C">
        <w:t>, nonché ai meccanismi di mercato e di governance che ca</w:t>
      </w:r>
      <w:r w:rsidR="007C3512">
        <w:t>ratterizzano le</w:t>
      </w:r>
      <w:r w:rsidR="00AB019C">
        <w:t xml:space="preserve"> filier</w:t>
      </w:r>
      <w:r w:rsidR="007C3512">
        <w:t>e</w:t>
      </w:r>
      <w:r w:rsidR="00AB019C">
        <w:t>. Il corso introduce inoltre gli studenti alle problematiche globali che inte</w:t>
      </w:r>
      <w:r w:rsidR="00F67E57">
        <w:t>ressano la produzione agro-alime</w:t>
      </w:r>
      <w:r w:rsidR="00AB019C">
        <w:t xml:space="preserve">ntare </w:t>
      </w:r>
      <w:r w:rsidR="00F67E57">
        <w:t>a livello internazionale</w:t>
      </w:r>
      <w:r w:rsidR="007C3512">
        <w:t xml:space="preserve"> </w:t>
      </w:r>
      <w:r w:rsidR="00AB019C">
        <w:t>e al</w:t>
      </w:r>
      <w:r w:rsidR="00F23ECC">
        <w:t xml:space="preserve"> funzionamento del</w:t>
      </w:r>
      <w:r w:rsidR="00AB019C">
        <w:t>le politiche pubbliche che le governano, con particolare riferimento</w:t>
      </w:r>
      <w:r w:rsidR="007C3512">
        <w:t xml:space="preserve"> alla</w:t>
      </w:r>
      <w:r w:rsidR="00F23ECC">
        <w:t xml:space="preserve"> Politica Agricola Comune (PAC) dell’Unione Europea</w:t>
      </w:r>
      <w:r w:rsidR="007C3512">
        <w:t xml:space="preserve"> (UE).</w:t>
      </w:r>
    </w:p>
    <w:p w:rsidR="00F67E57" w:rsidRPr="00BA2C7A" w:rsidRDefault="00F67E57" w:rsidP="00F67E57">
      <w:r>
        <w:tab/>
        <w:t>Alla fine del corso lo studente sarà in grado di analizzare criticamente i meccanismi economici che governano il sistema agro-alimentare, il funzionamento dei mercati e la governance delle filiere. Lo studente sarà inoltre in gr</w:t>
      </w:r>
      <w:r w:rsidR="007C3512">
        <w:t>a</w:t>
      </w:r>
      <w:r>
        <w:t xml:space="preserve">do di analizzare </w:t>
      </w:r>
      <w:r w:rsidRPr="00F67E57">
        <w:t xml:space="preserve">criticamente </w:t>
      </w:r>
      <w:r w:rsidR="007C3512">
        <w:t xml:space="preserve">gli scenari globali riguardanti la produzione di alimenti </w:t>
      </w:r>
      <w:r w:rsidR="007C5ABA">
        <w:t>nonché</w:t>
      </w:r>
      <w:r w:rsidR="007C3512">
        <w:t xml:space="preserve"> </w:t>
      </w:r>
      <w:r w:rsidRPr="00F67E57">
        <w:t>le politiche agro-alimentari europee, sia nel loro significato generale di politica economica che nel loro impatto sull’operatività delle imprese e sul benessere dei consumatori finali.</w:t>
      </w:r>
    </w:p>
    <w:p w:rsidR="009029BE" w:rsidRDefault="003438B7" w:rsidP="009029BE">
      <w:pPr>
        <w:pStyle w:val="Titolo5"/>
      </w:pPr>
      <w: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1"/>
        <w:gridCol w:w="1099"/>
      </w:tblGrid>
      <w:tr w:rsidR="009029BE" w:rsidRPr="006C0B0E" w:rsidTr="004B18EB">
        <w:tc>
          <w:tcPr>
            <w:tcW w:w="5779" w:type="dxa"/>
            <w:shd w:val="clear" w:color="auto" w:fill="auto"/>
          </w:tcPr>
          <w:p w:rsidR="009029BE" w:rsidRPr="009029BE" w:rsidRDefault="009029BE" w:rsidP="0076148B"/>
        </w:tc>
        <w:tc>
          <w:tcPr>
            <w:tcW w:w="1127" w:type="dxa"/>
            <w:shd w:val="clear" w:color="auto" w:fill="auto"/>
          </w:tcPr>
          <w:p w:rsidR="009029BE" w:rsidRPr="009029BE" w:rsidRDefault="009029BE" w:rsidP="0076148B">
            <w:r w:rsidRPr="009029BE">
              <w:t>CFU</w:t>
            </w:r>
          </w:p>
        </w:tc>
      </w:tr>
      <w:tr w:rsidR="009029BE" w:rsidRPr="006C0B0E" w:rsidTr="004B18EB">
        <w:tc>
          <w:tcPr>
            <w:tcW w:w="5779" w:type="dxa"/>
            <w:shd w:val="clear" w:color="auto" w:fill="auto"/>
          </w:tcPr>
          <w:p w:rsidR="009029BE" w:rsidRPr="009029BE" w:rsidRDefault="00DF5E11" w:rsidP="00837FE7">
            <w:r w:rsidRPr="00DF5E11">
              <w:rPr>
                <w:b/>
              </w:rPr>
              <w:t>Introduzione</w:t>
            </w:r>
            <w:r>
              <w:t xml:space="preserve">: </w:t>
            </w:r>
            <w:r w:rsidR="00837FE7">
              <w:t xml:space="preserve">La struttura e i soggetti </w:t>
            </w:r>
            <w:r w:rsidR="001D3555">
              <w:t>che compongono il sistema agro-alimentare</w:t>
            </w:r>
          </w:p>
        </w:tc>
        <w:tc>
          <w:tcPr>
            <w:tcW w:w="1127" w:type="dxa"/>
            <w:shd w:val="clear" w:color="auto" w:fill="auto"/>
          </w:tcPr>
          <w:p w:rsidR="009029BE" w:rsidRPr="009029BE" w:rsidRDefault="001D3555" w:rsidP="0076148B">
            <w:r>
              <w:t>0.</w:t>
            </w:r>
            <w:r w:rsidR="00C812B5">
              <w:t>2</w:t>
            </w:r>
            <w:r>
              <w:t>5</w:t>
            </w:r>
          </w:p>
        </w:tc>
      </w:tr>
      <w:tr w:rsidR="009029BE" w:rsidRPr="006C0B0E" w:rsidTr="004B18EB">
        <w:tc>
          <w:tcPr>
            <w:tcW w:w="5779" w:type="dxa"/>
            <w:shd w:val="clear" w:color="auto" w:fill="auto"/>
          </w:tcPr>
          <w:p w:rsidR="004B18EB" w:rsidRDefault="00DF5E11" w:rsidP="00837FE7">
            <w:r w:rsidRPr="008C79C3">
              <w:rPr>
                <w:b/>
              </w:rPr>
              <w:t>I consumi alimentari</w:t>
            </w:r>
            <w:r w:rsidR="008C79C3">
              <w:t>. Comportamenti di c</w:t>
            </w:r>
            <w:r w:rsidR="005D1970">
              <w:t>onsumo alimentare e caratterist</w:t>
            </w:r>
            <w:r w:rsidR="00837FE7">
              <w:t xml:space="preserve">iche della domanda di alimenti. Aspetti specifici della domanda di alimenti: salute, obesità, </w:t>
            </w:r>
            <w:r w:rsidR="00C812B5">
              <w:t xml:space="preserve">qualità e </w:t>
            </w:r>
            <w:r w:rsidR="00837FE7">
              <w:t>sicurezza degli alimenti.</w:t>
            </w:r>
          </w:p>
        </w:tc>
        <w:tc>
          <w:tcPr>
            <w:tcW w:w="1127" w:type="dxa"/>
            <w:shd w:val="clear" w:color="auto" w:fill="auto"/>
          </w:tcPr>
          <w:p w:rsidR="009029BE" w:rsidRPr="009029BE" w:rsidRDefault="00C812B5" w:rsidP="00C812B5">
            <w:r>
              <w:t>0.75</w:t>
            </w:r>
          </w:p>
        </w:tc>
      </w:tr>
      <w:tr w:rsidR="009F24F6" w:rsidRPr="006C0B0E" w:rsidTr="004B18EB">
        <w:tc>
          <w:tcPr>
            <w:tcW w:w="5779" w:type="dxa"/>
            <w:shd w:val="clear" w:color="auto" w:fill="auto"/>
          </w:tcPr>
          <w:p w:rsidR="009F24F6" w:rsidRPr="009F24F6" w:rsidRDefault="009F24F6" w:rsidP="009F24F6">
            <w:pPr>
              <w:rPr>
                <w:b/>
              </w:rPr>
            </w:pPr>
            <w:r w:rsidRPr="009F24F6">
              <w:rPr>
                <w:b/>
              </w:rPr>
              <w:t>La distribuzione alimentare</w:t>
            </w:r>
            <w:r>
              <w:t xml:space="preserve">. Evoluzione, struttura e strategie della distribuzione alimentare. </w:t>
            </w:r>
          </w:p>
        </w:tc>
        <w:tc>
          <w:tcPr>
            <w:tcW w:w="1127" w:type="dxa"/>
            <w:shd w:val="clear" w:color="auto" w:fill="auto"/>
          </w:tcPr>
          <w:p w:rsidR="009F24F6" w:rsidRDefault="009F24F6" w:rsidP="00590267">
            <w:r>
              <w:t>0.5</w:t>
            </w:r>
          </w:p>
        </w:tc>
      </w:tr>
      <w:tr w:rsidR="009F24F6" w:rsidRPr="006C0B0E" w:rsidTr="004B18EB">
        <w:tc>
          <w:tcPr>
            <w:tcW w:w="5779" w:type="dxa"/>
            <w:shd w:val="clear" w:color="auto" w:fill="auto"/>
          </w:tcPr>
          <w:p w:rsidR="009F24F6" w:rsidRDefault="009F24F6" w:rsidP="009F24F6">
            <w:r w:rsidRPr="009F24F6">
              <w:rPr>
                <w:b/>
              </w:rPr>
              <w:t>L’industria alimentare</w:t>
            </w:r>
            <w:r>
              <w:t>. Evoluzione, struttura e strategie dell’industria alimentare.</w:t>
            </w:r>
          </w:p>
        </w:tc>
        <w:tc>
          <w:tcPr>
            <w:tcW w:w="1127" w:type="dxa"/>
            <w:shd w:val="clear" w:color="auto" w:fill="auto"/>
          </w:tcPr>
          <w:p w:rsidR="009F24F6" w:rsidRDefault="009F24F6" w:rsidP="00590267">
            <w:r>
              <w:t>0.5</w:t>
            </w:r>
          </w:p>
        </w:tc>
      </w:tr>
      <w:tr w:rsidR="009F24F6" w:rsidRPr="006C0B0E" w:rsidTr="004B18EB">
        <w:tc>
          <w:tcPr>
            <w:tcW w:w="5779" w:type="dxa"/>
            <w:shd w:val="clear" w:color="auto" w:fill="auto"/>
          </w:tcPr>
          <w:p w:rsidR="009F24F6" w:rsidRPr="008C79C3" w:rsidRDefault="009F24F6" w:rsidP="009F24F6">
            <w:pPr>
              <w:rPr>
                <w:b/>
              </w:rPr>
            </w:pPr>
            <w:r>
              <w:rPr>
                <w:b/>
              </w:rPr>
              <w:lastRenderedPageBreak/>
              <w:t>L’agricoltura</w:t>
            </w:r>
            <w:r w:rsidRPr="009F24F6">
              <w:t>.</w:t>
            </w:r>
            <w:r>
              <w:t xml:space="preserve"> Evoluzione, struttura e dinamiche del settore agricolo. Le peculiarità del settore agricolo (incertezza tecnologica e di mercato). </w:t>
            </w:r>
            <w:r w:rsidR="00C812B5">
              <w:t>L’o</w:t>
            </w:r>
            <w:r w:rsidR="00B802D5">
              <w:t xml:space="preserve">fferta dei prodotti agricoli. </w:t>
            </w:r>
            <w:r>
              <w:t>Forme di integrazione orizzontale.</w:t>
            </w:r>
            <w:r w:rsidR="00C812B5">
              <w:t xml:space="preserve"> </w:t>
            </w:r>
          </w:p>
        </w:tc>
        <w:tc>
          <w:tcPr>
            <w:tcW w:w="1127" w:type="dxa"/>
            <w:shd w:val="clear" w:color="auto" w:fill="auto"/>
          </w:tcPr>
          <w:p w:rsidR="009F24F6" w:rsidRDefault="009F24F6" w:rsidP="009F24F6">
            <w:r>
              <w:t>1</w:t>
            </w:r>
          </w:p>
        </w:tc>
      </w:tr>
      <w:tr w:rsidR="009F24F6" w:rsidRPr="006C0B0E" w:rsidTr="004B18EB">
        <w:tc>
          <w:tcPr>
            <w:tcW w:w="5779" w:type="dxa"/>
            <w:shd w:val="clear" w:color="auto" w:fill="auto"/>
          </w:tcPr>
          <w:p w:rsidR="009F24F6" w:rsidRDefault="009F24F6" w:rsidP="00B802D5">
            <w:r w:rsidRPr="009F24F6">
              <w:rPr>
                <w:b/>
              </w:rPr>
              <w:t>I mercati agroalimentari</w:t>
            </w:r>
            <w:r>
              <w:t>. Meccanismi di formazione dei prezzi. La variabilità dei prezzi nel tempo e nello spazio.</w:t>
            </w:r>
            <w:r w:rsidR="00A10140">
              <w:t xml:space="preserve"> </w:t>
            </w:r>
            <w:r w:rsidR="00C812B5">
              <w:t>La trasmissione dei prezzi.</w:t>
            </w:r>
          </w:p>
        </w:tc>
        <w:tc>
          <w:tcPr>
            <w:tcW w:w="1127" w:type="dxa"/>
            <w:shd w:val="clear" w:color="auto" w:fill="auto"/>
          </w:tcPr>
          <w:p w:rsidR="009F24F6" w:rsidRDefault="00A10140" w:rsidP="009F24F6">
            <w:r>
              <w:t>1</w:t>
            </w:r>
          </w:p>
        </w:tc>
      </w:tr>
      <w:tr w:rsidR="009F24F6" w:rsidRPr="006C0B0E" w:rsidTr="004B18EB">
        <w:tc>
          <w:tcPr>
            <w:tcW w:w="5779" w:type="dxa"/>
            <w:shd w:val="clear" w:color="auto" w:fill="auto"/>
          </w:tcPr>
          <w:p w:rsidR="009F24F6" w:rsidRDefault="00C812B5" w:rsidP="00C812B5">
            <w:r w:rsidRPr="00C812B5">
              <w:rPr>
                <w:b/>
              </w:rPr>
              <w:t>Le relazioni verticali nel sistema agro-alimentare</w:t>
            </w:r>
            <w:r>
              <w:t>. Monopolio/Oligopolio e Monopsonio/oligopsonio. Potere di mercato</w:t>
            </w:r>
            <w:r w:rsidR="009F24F6">
              <w:t>.</w:t>
            </w:r>
            <w:r>
              <w:t xml:space="preserve"> Coordinamento e integrazione verticale.</w:t>
            </w:r>
          </w:p>
        </w:tc>
        <w:tc>
          <w:tcPr>
            <w:tcW w:w="1127" w:type="dxa"/>
            <w:shd w:val="clear" w:color="auto" w:fill="auto"/>
          </w:tcPr>
          <w:p w:rsidR="009F24F6" w:rsidRDefault="00C812B5" w:rsidP="009F24F6">
            <w:r>
              <w:t>0.</w:t>
            </w:r>
            <w:r w:rsidR="009F24F6">
              <w:t>5</w:t>
            </w:r>
          </w:p>
        </w:tc>
      </w:tr>
      <w:tr w:rsidR="00C812B5" w:rsidRPr="006C0B0E" w:rsidTr="004B18EB">
        <w:tc>
          <w:tcPr>
            <w:tcW w:w="5779" w:type="dxa"/>
            <w:shd w:val="clear" w:color="auto" w:fill="auto"/>
          </w:tcPr>
          <w:p w:rsidR="00B802D5" w:rsidRPr="00B802D5" w:rsidRDefault="00C812B5" w:rsidP="00C812B5">
            <w:r>
              <w:rPr>
                <w:b/>
              </w:rPr>
              <w:t>La dimensione internazionale della produzione agroalimentare</w:t>
            </w:r>
            <w:r w:rsidRPr="00C812B5">
              <w:t>.</w:t>
            </w:r>
            <w:r>
              <w:t xml:space="preserve"> La relazione tra agricoltura e sviluppo economico. </w:t>
            </w:r>
            <w:r w:rsidR="00B802D5">
              <w:t>Svi</w:t>
            </w:r>
            <w:r>
              <w:t>luppo sostenibile e sicurezza alimentare globale</w:t>
            </w:r>
            <w:r w:rsidR="00B802D5">
              <w:t>.</w:t>
            </w:r>
          </w:p>
        </w:tc>
        <w:tc>
          <w:tcPr>
            <w:tcW w:w="1127" w:type="dxa"/>
            <w:shd w:val="clear" w:color="auto" w:fill="auto"/>
          </w:tcPr>
          <w:p w:rsidR="00C812B5" w:rsidRDefault="00C812B5" w:rsidP="009F24F6">
            <w:r>
              <w:t>0.5</w:t>
            </w:r>
          </w:p>
        </w:tc>
      </w:tr>
      <w:tr w:rsidR="00B802D5" w:rsidRPr="006C0B0E" w:rsidTr="004B18EB">
        <w:tc>
          <w:tcPr>
            <w:tcW w:w="5779" w:type="dxa"/>
            <w:shd w:val="clear" w:color="auto" w:fill="auto"/>
          </w:tcPr>
          <w:p w:rsidR="00B802D5" w:rsidRDefault="00B802D5" w:rsidP="00B802D5">
            <w:pPr>
              <w:rPr>
                <w:b/>
              </w:rPr>
            </w:pPr>
            <w:r>
              <w:rPr>
                <w:b/>
              </w:rPr>
              <w:t>Le politiche agro-alimentari</w:t>
            </w:r>
            <w:r w:rsidRPr="00B802D5">
              <w:t xml:space="preserve">. </w:t>
            </w:r>
            <w:r>
              <w:t>Motivazioni economiche delle politiche agro-alimentari. Il contesto internazionale in cui si sviluppano le politiche agro-alimentari. La Politica Agricola Comune: evoluzione, obiettivi, strumenti e impatti economico.</w:t>
            </w:r>
          </w:p>
        </w:tc>
        <w:tc>
          <w:tcPr>
            <w:tcW w:w="1127" w:type="dxa"/>
            <w:shd w:val="clear" w:color="auto" w:fill="auto"/>
          </w:tcPr>
          <w:p w:rsidR="00B802D5" w:rsidRDefault="00B802D5" w:rsidP="009F24F6">
            <w:r>
              <w:t>1</w:t>
            </w:r>
          </w:p>
        </w:tc>
      </w:tr>
    </w:tbl>
    <w:p w:rsidR="003438B7" w:rsidRPr="00166AEC" w:rsidRDefault="003438B7" w:rsidP="003438B7">
      <w:pPr>
        <w:keepNext/>
        <w:spacing w:before="240" w:after="120"/>
        <w:rPr>
          <w:b/>
          <w:sz w:val="18"/>
        </w:rPr>
      </w:pPr>
      <w:r w:rsidRPr="00166AEC">
        <w:rPr>
          <w:b/>
          <w:i/>
          <w:sz w:val="18"/>
        </w:rPr>
        <w:t>BIBLIOGRAFIA</w:t>
      </w:r>
    </w:p>
    <w:p w:rsidR="009904D0" w:rsidRPr="003E4AD8" w:rsidRDefault="009904D0" w:rsidP="009904D0">
      <w:pPr>
        <w:pStyle w:val="Corpotesto"/>
      </w:pPr>
      <w:r w:rsidRPr="003E4AD8">
        <w:t>Per ogni argomento trattato, il docente fornirà indicazioni bibliografiche e materiale integrativo durante lo svolgimento del corso.</w:t>
      </w:r>
    </w:p>
    <w:p w:rsidR="009904D0" w:rsidRPr="00666A99" w:rsidRDefault="009904D0" w:rsidP="009904D0">
      <w:pPr>
        <w:spacing w:after="120" w:line="220" w:lineRule="exact"/>
        <w:rPr>
          <w:rFonts w:ascii="Times New Roman" w:hAnsi="Times New Roman"/>
          <w:b/>
          <w:i/>
        </w:rPr>
      </w:pPr>
    </w:p>
    <w:p w:rsidR="009904D0" w:rsidRPr="00666A99" w:rsidRDefault="009904D0" w:rsidP="009904D0">
      <w:pPr>
        <w:spacing w:after="120" w:line="220" w:lineRule="exact"/>
        <w:rPr>
          <w:rFonts w:ascii="Times New Roman" w:hAnsi="Times New Roman"/>
          <w:b/>
          <w:i/>
        </w:rPr>
      </w:pPr>
      <w:r w:rsidRPr="00666A99">
        <w:rPr>
          <w:rFonts w:ascii="Times New Roman" w:hAnsi="Times New Roman"/>
          <w:b/>
          <w:i/>
        </w:rPr>
        <w:t>DIDATTICA DEL CORSO</w:t>
      </w:r>
    </w:p>
    <w:p w:rsidR="00666A99" w:rsidRPr="00666A99" w:rsidRDefault="009904D0" w:rsidP="009904D0">
      <w:pPr>
        <w:spacing w:after="120"/>
        <w:rPr>
          <w:rFonts w:ascii="Times New Roman" w:hAnsi="Times New Roman"/>
        </w:rPr>
      </w:pPr>
      <w:r w:rsidRPr="00666A99">
        <w:rPr>
          <w:rFonts w:ascii="Times New Roman" w:hAnsi="Times New Roman"/>
        </w:rPr>
        <w:t>Il corso si sviluppa mediante</w:t>
      </w:r>
      <w:r w:rsidR="00666A99" w:rsidRPr="00666A99">
        <w:rPr>
          <w:rFonts w:ascii="Times New Roman" w:hAnsi="Times New Roman"/>
        </w:rPr>
        <w:t xml:space="preserve"> i seguenti strumenti didattici:</w:t>
      </w:r>
    </w:p>
    <w:p w:rsidR="00666A99" w:rsidRPr="00666A99" w:rsidRDefault="009904D0" w:rsidP="00666A99">
      <w:pPr>
        <w:pStyle w:val="Paragrafoelenco"/>
        <w:numPr>
          <w:ilvl w:val="0"/>
          <w:numId w:val="5"/>
        </w:numPr>
        <w:spacing w:after="120"/>
        <w:rPr>
          <w:rFonts w:ascii="Times New Roman" w:hAnsi="Times New Roman" w:cs="Times New Roman"/>
          <w:sz w:val="20"/>
          <w:szCs w:val="20"/>
        </w:rPr>
      </w:pPr>
      <w:r w:rsidRPr="00666A99">
        <w:rPr>
          <w:rFonts w:ascii="Times New Roman" w:hAnsi="Times New Roman" w:cs="Times New Roman"/>
          <w:sz w:val="20"/>
          <w:szCs w:val="20"/>
        </w:rPr>
        <w:t>lezioni frontali</w:t>
      </w:r>
      <w:r w:rsidR="00666A99">
        <w:rPr>
          <w:rFonts w:ascii="Times New Roman" w:hAnsi="Times New Roman" w:cs="Times New Roman"/>
          <w:sz w:val="20"/>
          <w:szCs w:val="20"/>
        </w:rPr>
        <w:t xml:space="preserve"> in cui vengono presentati e sviluppati i concetti principali del corso, sempre corredati da esempi applicativi.</w:t>
      </w:r>
      <w:r w:rsidR="00666A99" w:rsidRPr="00666A99">
        <w:rPr>
          <w:rFonts w:ascii="Times New Roman" w:hAnsi="Times New Roman" w:cs="Times New Roman"/>
          <w:sz w:val="20"/>
          <w:szCs w:val="20"/>
        </w:rPr>
        <w:t xml:space="preserve"> Le lezioni utilizzano presentazioni al computer, che verranno messe a disposizione degli studenti.</w:t>
      </w:r>
    </w:p>
    <w:p w:rsidR="00666A99" w:rsidRDefault="009904D0" w:rsidP="00666A99">
      <w:pPr>
        <w:pStyle w:val="Paragrafoelenco"/>
        <w:numPr>
          <w:ilvl w:val="0"/>
          <w:numId w:val="5"/>
        </w:numPr>
        <w:spacing w:after="120"/>
        <w:rPr>
          <w:rFonts w:ascii="Times New Roman" w:hAnsi="Times New Roman" w:cs="Times New Roman"/>
          <w:sz w:val="20"/>
          <w:szCs w:val="20"/>
        </w:rPr>
      </w:pPr>
      <w:r w:rsidRPr="00666A99">
        <w:rPr>
          <w:rFonts w:ascii="Times New Roman" w:hAnsi="Times New Roman" w:cs="Times New Roman"/>
          <w:sz w:val="20"/>
          <w:szCs w:val="20"/>
        </w:rPr>
        <w:t>analisi di casi relativi a specifici problemi relativi all’econom</w:t>
      </w:r>
      <w:r w:rsidR="00666A99">
        <w:rPr>
          <w:rFonts w:ascii="Times New Roman" w:hAnsi="Times New Roman" w:cs="Times New Roman"/>
          <w:sz w:val="20"/>
          <w:szCs w:val="20"/>
        </w:rPr>
        <w:t>ia del sistema agro-alimentare, con l’intervento, quando rilevante, di esperti esterni in forma seminariale;</w:t>
      </w:r>
    </w:p>
    <w:p w:rsidR="00666A99" w:rsidRDefault="00666A99" w:rsidP="00666A99">
      <w:pPr>
        <w:pStyle w:val="Paragrafoelenco"/>
        <w:numPr>
          <w:ilvl w:val="0"/>
          <w:numId w:val="5"/>
        </w:numPr>
        <w:spacing w:after="120"/>
        <w:rPr>
          <w:rFonts w:ascii="Times New Roman" w:hAnsi="Times New Roman" w:cs="Times New Roman"/>
          <w:sz w:val="20"/>
          <w:szCs w:val="20"/>
        </w:rPr>
      </w:pPr>
      <w:r>
        <w:rPr>
          <w:rFonts w:ascii="Times New Roman" w:hAnsi="Times New Roman" w:cs="Times New Roman"/>
          <w:sz w:val="20"/>
          <w:szCs w:val="20"/>
        </w:rPr>
        <w:t xml:space="preserve">Lavoro in piccoli gruppi </w:t>
      </w:r>
      <w:r w:rsidRPr="00666A99">
        <w:rPr>
          <w:rFonts w:ascii="Times New Roman" w:hAnsi="Times New Roman" w:cs="Times New Roman"/>
          <w:sz w:val="20"/>
          <w:szCs w:val="20"/>
        </w:rPr>
        <w:t>riguard</w:t>
      </w:r>
      <w:r>
        <w:rPr>
          <w:rFonts w:ascii="Times New Roman" w:hAnsi="Times New Roman" w:cs="Times New Roman"/>
          <w:sz w:val="20"/>
          <w:szCs w:val="20"/>
        </w:rPr>
        <w:t>ante</w:t>
      </w:r>
      <w:r w:rsidRPr="00666A99">
        <w:rPr>
          <w:rFonts w:ascii="Times New Roman" w:hAnsi="Times New Roman" w:cs="Times New Roman"/>
          <w:sz w:val="20"/>
          <w:szCs w:val="20"/>
        </w:rPr>
        <w:t xml:space="preserve"> lo studio di specifiche filiere agroalimentari, da analizzarsi con riferimento alla struttura dei settori, alle strategie attuate dalle imprese e alle politiche applicate.</w:t>
      </w:r>
    </w:p>
    <w:p w:rsidR="009904D0" w:rsidRPr="00666A99" w:rsidRDefault="009904D0" w:rsidP="009904D0">
      <w:pPr>
        <w:spacing w:after="120"/>
        <w:rPr>
          <w:rFonts w:ascii="Times New Roman" w:hAnsi="Times New Roman"/>
        </w:rPr>
      </w:pPr>
    </w:p>
    <w:p w:rsidR="009904D0" w:rsidRPr="00666A99" w:rsidRDefault="009904D0" w:rsidP="009904D0">
      <w:pPr>
        <w:spacing w:after="120" w:line="220" w:lineRule="exact"/>
        <w:rPr>
          <w:rFonts w:ascii="Times New Roman" w:hAnsi="Times New Roman"/>
          <w:b/>
          <w:i/>
        </w:rPr>
      </w:pPr>
      <w:r w:rsidRPr="00666A99">
        <w:rPr>
          <w:rFonts w:ascii="Times New Roman" w:hAnsi="Times New Roman"/>
          <w:b/>
          <w:i/>
        </w:rPr>
        <w:t>METODO E CRITERI DI VALUTAZIONE</w:t>
      </w:r>
    </w:p>
    <w:p w:rsidR="009904D0" w:rsidRPr="00666A99" w:rsidRDefault="009904D0" w:rsidP="009904D0">
      <w:pPr>
        <w:spacing w:before="120"/>
        <w:rPr>
          <w:rFonts w:ascii="Times New Roman" w:hAnsi="Times New Roman"/>
        </w:rPr>
      </w:pPr>
      <w:r w:rsidRPr="00666A99">
        <w:rPr>
          <w:rFonts w:ascii="Times New Roman" w:hAnsi="Times New Roman"/>
        </w:rPr>
        <w:lastRenderedPageBreak/>
        <w:t xml:space="preserve">L’esame è strutturato in due parti: un esame scritto finale e una presentazione orale dei risultati di un lavoro effettuato in piccoli gruppi. </w:t>
      </w:r>
    </w:p>
    <w:p w:rsidR="009904D0" w:rsidRPr="00666A99" w:rsidRDefault="009904D0" w:rsidP="009904D0">
      <w:pPr>
        <w:spacing w:before="120"/>
        <w:rPr>
          <w:rFonts w:ascii="Times New Roman" w:hAnsi="Times New Roman"/>
        </w:rPr>
      </w:pPr>
      <w:r w:rsidRPr="00666A99">
        <w:rPr>
          <w:rFonts w:ascii="Times New Roman" w:hAnsi="Times New Roman"/>
        </w:rPr>
        <w:t>La prova scritta finale dura complessivamente 120 minuti ed è strutturata mediante domande aperte. Le domande riguardano sia le parti più descrittive del corso, sia quelle di analisi economica. Agli studenti può essere richiesto di svolgere brevi esercizi, sulla traccia di quelli svolti in classe, o di commentare dati in forma di tabella o grafico. I punteggi attribuiti ai singoli quesiti possono variare a seconda della prova. La valutazione ha l’obiettivo di fornire una misura sufficientemente precisa del grado di preparazione complessiva dello studente sull’intero programma svolto e di far comprendere al docente sia la capacità di ragionamento dello studente, sia la sua padronanza dell’analisi economica dei problemi del sistema agro-alimentare.</w:t>
      </w:r>
    </w:p>
    <w:p w:rsidR="009904D0" w:rsidRPr="00666A99" w:rsidRDefault="00666A99" w:rsidP="009904D0">
      <w:pPr>
        <w:spacing w:before="120"/>
        <w:rPr>
          <w:rFonts w:ascii="Times New Roman" w:hAnsi="Times New Roman"/>
        </w:rPr>
      </w:pPr>
      <w:r>
        <w:rPr>
          <w:rFonts w:ascii="Times New Roman" w:hAnsi="Times New Roman"/>
        </w:rPr>
        <w:t>La valutazione del lavoro di gruppo prenderà in considerazione i contenuti della presentazione, e in particolare la capacità di applicare ad un caso concreto i concetti e gli strumenti di analisi appresi durante il corso. Inoltre, verrà valutata la qualità e la brillantezza della presentazione in aula da parte del gruppo.</w:t>
      </w:r>
    </w:p>
    <w:p w:rsidR="009904D0" w:rsidRPr="00666A99" w:rsidRDefault="009904D0" w:rsidP="009904D0">
      <w:pPr>
        <w:spacing w:before="240" w:after="120" w:line="220" w:lineRule="exact"/>
        <w:rPr>
          <w:rFonts w:ascii="Times New Roman" w:hAnsi="Times New Roman"/>
          <w:b/>
          <w:i/>
        </w:rPr>
      </w:pPr>
      <w:r w:rsidRPr="00666A99">
        <w:rPr>
          <w:rFonts w:ascii="Times New Roman" w:hAnsi="Times New Roman"/>
          <w:b/>
          <w:i/>
        </w:rPr>
        <w:t xml:space="preserve">AVVERTENZE E PREREQUISITI </w:t>
      </w:r>
    </w:p>
    <w:p w:rsidR="009904D0" w:rsidRDefault="009904D0" w:rsidP="009904D0">
      <w:pPr>
        <w:pStyle w:val="Testo2"/>
        <w:rPr>
          <w:rFonts w:ascii="Times New Roman" w:hAnsi="Times New Roman"/>
          <w:sz w:val="20"/>
        </w:rPr>
      </w:pPr>
      <w:r w:rsidRPr="00666A99">
        <w:rPr>
          <w:rFonts w:ascii="Times New Roman" w:hAnsi="Times New Roman"/>
          <w:sz w:val="20"/>
        </w:rPr>
        <w:t>Per la comprensione degli argomenti trattati è necessaria una conoscenza di base degli strumenti grafici di analisi microeconomica.</w:t>
      </w:r>
    </w:p>
    <w:p w:rsidR="00413A1F" w:rsidRPr="005D3591" w:rsidRDefault="00413A1F" w:rsidP="00413A1F">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p w:rsidR="00413A1F" w:rsidRPr="00666A99" w:rsidRDefault="00413A1F" w:rsidP="009904D0">
      <w:pPr>
        <w:pStyle w:val="Testo2"/>
        <w:rPr>
          <w:rFonts w:ascii="Times New Roman" w:hAnsi="Times New Roman"/>
          <w:sz w:val="20"/>
        </w:rPr>
      </w:pPr>
    </w:p>
    <w:p w:rsidR="009904D0" w:rsidRPr="00666A99" w:rsidRDefault="009904D0" w:rsidP="009904D0">
      <w:pPr>
        <w:spacing w:before="240" w:after="120" w:line="220" w:lineRule="exact"/>
        <w:rPr>
          <w:rFonts w:ascii="Times New Roman" w:hAnsi="Times New Roman"/>
          <w:b/>
          <w:i/>
        </w:rPr>
      </w:pPr>
      <w:r w:rsidRPr="00666A99">
        <w:rPr>
          <w:rFonts w:ascii="Times New Roman" w:hAnsi="Times New Roman"/>
          <w:b/>
          <w:i/>
        </w:rPr>
        <w:t xml:space="preserve">ORARIO E LUOGO DI RICEVIMENTO DEGLI STUDENTI </w:t>
      </w:r>
    </w:p>
    <w:p w:rsidR="009904D0" w:rsidRPr="00666A99" w:rsidRDefault="009904D0" w:rsidP="009904D0">
      <w:pPr>
        <w:pStyle w:val="Testo2"/>
        <w:rPr>
          <w:rFonts w:ascii="Times New Roman" w:hAnsi="Times New Roman"/>
          <w:sz w:val="20"/>
        </w:rPr>
      </w:pPr>
      <w:r w:rsidRPr="00666A99">
        <w:rPr>
          <w:rFonts w:ascii="Times New Roman" w:hAnsi="Times New Roman"/>
          <w:sz w:val="20"/>
        </w:rPr>
        <w:t>I</w:t>
      </w:r>
      <w:r w:rsidR="006332FC">
        <w:rPr>
          <w:rFonts w:ascii="Times New Roman" w:hAnsi="Times New Roman"/>
          <w:sz w:val="20"/>
        </w:rPr>
        <w:t>l</w:t>
      </w:r>
      <w:r w:rsidRPr="00666A99">
        <w:rPr>
          <w:rFonts w:ascii="Times New Roman" w:hAnsi="Times New Roman"/>
          <w:sz w:val="20"/>
        </w:rPr>
        <w:t xml:space="preserve"> Prof. Paolo Sckokai ricev</w:t>
      </w:r>
      <w:r w:rsidR="006332FC">
        <w:rPr>
          <w:rFonts w:ascii="Times New Roman" w:hAnsi="Times New Roman"/>
          <w:sz w:val="20"/>
        </w:rPr>
        <w:t>e</w:t>
      </w:r>
      <w:r w:rsidRPr="00666A99">
        <w:rPr>
          <w:rFonts w:ascii="Times New Roman" w:hAnsi="Times New Roman"/>
          <w:sz w:val="20"/>
        </w:rPr>
        <w:t xml:space="preserve"> gli studenti nei giorni delle lezioni presso il Dipartimento di Economia agro-alimentare.</w:t>
      </w:r>
    </w:p>
    <w:p w:rsidR="009904D0" w:rsidRPr="003E4AD8" w:rsidRDefault="009904D0" w:rsidP="009904D0"/>
    <w:p w:rsidR="00C33EF0" w:rsidRDefault="00C33EF0" w:rsidP="00C33EF0">
      <w:pPr>
        <w:pStyle w:val="Titolo1"/>
      </w:pPr>
      <w:r>
        <w:t xml:space="preserve">.- Mod. 2: </w:t>
      </w:r>
      <w:r w:rsidRPr="00C33EF0">
        <w:rPr>
          <w:sz w:val="18"/>
        </w:rPr>
        <w:t>Elementi di Estimo (3 CFU)</w:t>
      </w:r>
      <w:r w:rsidRPr="00B138CD">
        <w:t xml:space="preserve"> </w:t>
      </w:r>
    </w:p>
    <w:p w:rsidR="00C33EF0" w:rsidRPr="00B138CD" w:rsidRDefault="00C33EF0" w:rsidP="00C33EF0">
      <w:pPr>
        <w:pStyle w:val="Titolo2"/>
      </w:pPr>
      <w:r>
        <w:t>Prof. Gabriele Canali</w:t>
      </w:r>
    </w:p>
    <w:p w:rsidR="00C33EF0" w:rsidRPr="00C33EF0" w:rsidRDefault="00C33EF0" w:rsidP="00C33EF0">
      <w:pPr>
        <w:pStyle w:val="Titolo5"/>
      </w:pPr>
      <w:r w:rsidRPr="00F81DBB">
        <w:t xml:space="preserve">OBIETTIVO DEL CORSO E RISULTATI DI APPRENDIMENTO ATTESI </w:t>
      </w:r>
    </w:p>
    <w:p w:rsidR="00C33EF0" w:rsidRDefault="00C33EF0" w:rsidP="00C33EF0">
      <w:r w:rsidRPr="00BA2C7A">
        <w:t>Il corso forni</w:t>
      </w:r>
      <w:r w:rsidR="005D274B">
        <w:t>sce</w:t>
      </w:r>
      <w:r>
        <w:t xml:space="preserve"> le conoscenze di base di estimo generale soprattutto con riferiment</w:t>
      </w:r>
      <w:r w:rsidR="005D274B">
        <w:t>o alla stima dei</w:t>
      </w:r>
      <w:r>
        <w:t xml:space="preserve"> fondi rustici e </w:t>
      </w:r>
      <w:r w:rsidR="005D274B">
        <w:t>de</w:t>
      </w:r>
      <w:r>
        <w:t>i beni</w:t>
      </w:r>
      <w:r w:rsidR="005D274B">
        <w:t>, mobili ed immobili,</w:t>
      </w:r>
      <w:r>
        <w:t xml:space="preserve"> </w:t>
      </w:r>
      <w:r w:rsidR="005D274B">
        <w:t xml:space="preserve">in </w:t>
      </w:r>
      <w:r>
        <w:t xml:space="preserve">essi connessi, nonché </w:t>
      </w:r>
      <w:r>
        <w:lastRenderedPageBreak/>
        <w:t>le nozioni di base di matematica finanziaria necessarie per le applicazioni estimative. Al termine del corso lo studente dovrà</w:t>
      </w:r>
      <w:r w:rsidR="005D274B">
        <w:t>:</w:t>
      </w:r>
      <w:r>
        <w:t xml:space="preserve"> </w:t>
      </w:r>
      <w:r w:rsidR="005D274B">
        <w:t xml:space="preserve">(1) conoscere e (2) saper utilizzare in modo corretto e appropriato i diversi strumenti di matematica finanziaria presentati nel corso e di interesse per la pratica estimativa; (3) saper valutare quale procedimento di matematica finanziaria sia più corretto utilizzare per risolvere un problema estimativo; (4) </w:t>
      </w:r>
      <w:r>
        <w:t xml:space="preserve">conoscere i principi fondamentali dell’estimo </w:t>
      </w:r>
      <w:r w:rsidR="005D274B">
        <w:t>generale e i principali metodi estimativi; (5) saper applicare i metodi dell’estimo generale e (6) saper valutare quale approccio metodologico sia più corretto utilizzare in un caso concreto</w:t>
      </w:r>
      <w:r w:rsidR="00392FAA">
        <w:t xml:space="preserve"> di stima dei fondi rustici</w:t>
      </w:r>
      <w:r w:rsidR="005D274B">
        <w:t>.</w:t>
      </w:r>
      <w:r>
        <w:t xml:space="preserve"> </w:t>
      </w:r>
    </w:p>
    <w:p w:rsidR="00C33EF0" w:rsidRPr="00BA2C7A" w:rsidRDefault="00C33EF0" w:rsidP="00C33EF0">
      <w:r>
        <w:t xml:space="preserve"> </w:t>
      </w:r>
    </w:p>
    <w:p w:rsidR="00C33EF0" w:rsidRDefault="00C33EF0" w:rsidP="00C33EF0">
      <w:pPr>
        <w:pStyle w:val="Titolo5"/>
      </w:pPr>
      <w: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3"/>
        <w:gridCol w:w="1097"/>
      </w:tblGrid>
      <w:tr w:rsidR="00C33EF0" w:rsidRPr="006C0B0E" w:rsidTr="006F4119">
        <w:tc>
          <w:tcPr>
            <w:tcW w:w="5779" w:type="dxa"/>
            <w:shd w:val="clear" w:color="auto" w:fill="auto"/>
          </w:tcPr>
          <w:p w:rsidR="00C33EF0" w:rsidRPr="009029BE" w:rsidRDefault="00C33EF0" w:rsidP="006F4119"/>
        </w:tc>
        <w:tc>
          <w:tcPr>
            <w:tcW w:w="1127" w:type="dxa"/>
            <w:shd w:val="clear" w:color="auto" w:fill="auto"/>
          </w:tcPr>
          <w:p w:rsidR="00C33EF0" w:rsidRPr="009029BE" w:rsidRDefault="00C33EF0" w:rsidP="006F4119">
            <w:r w:rsidRPr="009029BE">
              <w:t>CFU</w:t>
            </w:r>
          </w:p>
        </w:tc>
      </w:tr>
      <w:tr w:rsidR="00C33EF0" w:rsidRPr="00166AEC" w:rsidTr="006F4119">
        <w:tc>
          <w:tcPr>
            <w:tcW w:w="5779" w:type="dxa"/>
            <w:shd w:val="clear" w:color="auto" w:fill="auto"/>
          </w:tcPr>
          <w:p w:rsidR="00C33EF0" w:rsidRPr="00166AEC" w:rsidRDefault="00C33EF0" w:rsidP="006F4119">
            <w:pPr>
              <w:numPr>
                <w:ilvl w:val="1"/>
                <w:numId w:val="3"/>
              </w:numPr>
              <w:ind w:hanging="1440"/>
            </w:pPr>
            <w:r w:rsidRPr="00166AEC">
              <w:rPr>
                <w:i/>
              </w:rPr>
              <w:t>La stima dei fondi rustici</w:t>
            </w:r>
          </w:p>
        </w:tc>
        <w:tc>
          <w:tcPr>
            <w:tcW w:w="1127" w:type="dxa"/>
            <w:shd w:val="clear" w:color="auto" w:fill="auto"/>
          </w:tcPr>
          <w:p w:rsidR="00C33EF0" w:rsidRPr="00166AEC" w:rsidRDefault="00C33EF0" w:rsidP="006F4119"/>
        </w:tc>
      </w:tr>
      <w:tr w:rsidR="00C33EF0" w:rsidRPr="00166AEC" w:rsidTr="006F4119">
        <w:tc>
          <w:tcPr>
            <w:tcW w:w="5779" w:type="dxa"/>
            <w:shd w:val="clear" w:color="auto" w:fill="auto"/>
          </w:tcPr>
          <w:p w:rsidR="00C33EF0" w:rsidRPr="00166AEC" w:rsidRDefault="00C33EF0" w:rsidP="006F4119">
            <w:r w:rsidRPr="00166AEC">
              <w:t>Il giudizio di stima.</w:t>
            </w:r>
          </w:p>
          <w:p w:rsidR="00C33EF0" w:rsidRPr="00166AEC" w:rsidRDefault="00C33EF0" w:rsidP="006F4119">
            <w:r w:rsidRPr="00166AEC">
              <w:t>Gli aspetti economici di un bene: il più probabile valore di mercato, di produzione, di trasformazione, complementare, di surrogazione e di capitalizzazione.</w:t>
            </w:r>
          </w:p>
          <w:p w:rsidR="00C33EF0" w:rsidRPr="00166AEC" w:rsidRDefault="00C33EF0" w:rsidP="006F4119">
            <w:r w:rsidRPr="00166AEC">
              <w:t xml:space="preserve">Il metodo estimativo: procedimenti e momenti di stima. </w:t>
            </w:r>
          </w:p>
          <w:p w:rsidR="00C33EF0" w:rsidRPr="00166AEC" w:rsidRDefault="00C33EF0" w:rsidP="006F4119">
            <w:r>
              <w:t>Le diverse metodologie di stima sintetica e di stima analitica: vantaggi, svantaggi, campi di applicazione.</w:t>
            </w:r>
            <w:r w:rsidRPr="00166AEC">
              <w:t xml:space="preserve"> </w:t>
            </w:r>
          </w:p>
        </w:tc>
        <w:tc>
          <w:tcPr>
            <w:tcW w:w="1127" w:type="dxa"/>
            <w:shd w:val="clear" w:color="auto" w:fill="auto"/>
          </w:tcPr>
          <w:p w:rsidR="00C33EF0" w:rsidRPr="00166AEC" w:rsidRDefault="00C33EF0" w:rsidP="006F4119">
            <w:r w:rsidRPr="00166AEC">
              <w:t>1.5</w:t>
            </w:r>
          </w:p>
        </w:tc>
      </w:tr>
      <w:tr w:rsidR="00C33EF0" w:rsidRPr="00166AEC" w:rsidTr="006F4119">
        <w:tc>
          <w:tcPr>
            <w:tcW w:w="5779" w:type="dxa"/>
            <w:shd w:val="clear" w:color="auto" w:fill="auto"/>
          </w:tcPr>
          <w:p w:rsidR="00C33EF0" w:rsidRPr="00166AEC" w:rsidRDefault="00C33EF0" w:rsidP="006F4119">
            <w:r w:rsidRPr="00166AEC">
              <w:t>Il principio dell’ordinarietà.</w:t>
            </w:r>
          </w:p>
          <w:p w:rsidR="00C33EF0" w:rsidRPr="00166AEC" w:rsidRDefault="00C33EF0" w:rsidP="006F4119">
            <w:r w:rsidRPr="00166AEC">
              <w:t>Aggiunte e detrazioni.</w:t>
            </w:r>
          </w:p>
          <w:p w:rsidR="00C33EF0" w:rsidRPr="00166AEC" w:rsidRDefault="00C33EF0" w:rsidP="006F4119">
            <w:r w:rsidRPr="00166AEC">
              <w:t>I frutti pendenti e le anticipazioni colturali.</w:t>
            </w:r>
          </w:p>
          <w:p w:rsidR="00C33EF0" w:rsidRDefault="00C33EF0" w:rsidP="006F4119">
            <w:r w:rsidRPr="00166AEC">
              <w:t>La stima dei fondi rustici. Il saggio di capitalizzazione.</w:t>
            </w:r>
          </w:p>
          <w:p w:rsidR="00C33EF0" w:rsidRPr="00166AEC" w:rsidRDefault="00C33EF0" w:rsidP="006F4119">
            <w:r>
              <w:t>L’analisi costi/benefici nei miglioramenti fondiari</w:t>
            </w:r>
          </w:p>
        </w:tc>
        <w:tc>
          <w:tcPr>
            <w:tcW w:w="1127" w:type="dxa"/>
            <w:shd w:val="clear" w:color="auto" w:fill="auto"/>
          </w:tcPr>
          <w:p w:rsidR="00C33EF0" w:rsidRPr="00E376AE" w:rsidRDefault="00C33EF0" w:rsidP="006F4119">
            <w:pPr>
              <w:rPr>
                <w:highlight w:val="yellow"/>
              </w:rPr>
            </w:pPr>
            <w:r w:rsidRPr="000C2629">
              <w:t>0.5</w:t>
            </w:r>
          </w:p>
        </w:tc>
      </w:tr>
      <w:tr w:rsidR="00C33EF0" w:rsidRPr="00166AEC" w:rsidTr="006F4119">
        <w:tc>
          <w:tcPr>
            <w:tcW w:w="5779" w:type="dxa"/>
            <w:tcBorders>
              <w:bottom w:val="single" w:sz="4" w:space="0" w:color="auto"/>
            </w:tcBorders>
            <w:shd w:val="clear" w:color="auto" w:fill="auto"/>
          </w:tcPr>
          <w:p w:rsidR="00C33EF0" w:rsidRPr="00166AEC" w:rsidRDefault="00C33EF0" w:rsidP="006F4119">
            <w:pPr>
              <w:numPr>
                <w:ilvl w:val="1"/>
                <w:numId w:val="3"/>
              </w:numPr>
              <w:ind w:hanging="1440"/>
            </w:pPr>
            <w:r w:rsidRPr="00166AEC">
              <w:rPr>
                <w:i/>
                <w:iCs/>
              </w:rPr>
              <w:t xml:space="preserve">Matematica finanziaria per l'estimo </w:t>
            </w:r>
          </w:p>
        </w:tc>
        <w:tc>
          <w:tcPr>
            <w:tcW w:w="1127" w:type="dxa"/>
            <w:shd w:val="clear" w:color="auto" w:fill="auto"/>
          </w:tcPr>
          <w:p w:rsidR="00C33EF0" w:rsidRPr="00166AEC" w:rsidRDefault="00C33EF0" w:rsidP="006F4119"/>
        </w:tc>
      </w:tr>
      <w:tr w:rsidR="00C33EF0" w:rsidRPr="00166AEC" w:rsidTr="006F4119">
        <w:tc>
          <w:tcPr>
            <w:tcW w:w="5779" w:type="dxa"/>
            <w:tcBorders>
              <w:bottom w:val="single" w:sz="4" w:space="0" w:color="auto"/>
            </w:tcBorders>
            <w:shd w:val="clear" w:color="auto" w:fill="auto"/>
          </w:tcPr>
          <w:p w:rsidR="00C33EF0" w:rsidRPr="00166AEC" w:rsidRDefault="00C33EF0" w:rsidP="006F4119">
            <w:r w:rsidRPr="00166AEC">
              <w:t xml:space="preserve">Interesse, riporto dei capitali nel tempo, annualità, quota di reintegrazione dei capitali, quota di ammortamento dei capitali, periodicità o </w:t>
            </w:r>
            <w:proofErr w:type="spellStart"/>
            <w:r w:rsidRPr="00166AEC">
              <w:t>poliannualità</w:t>
            </w:r>
            <w:proofErr w:type="spellEnd"/>
            <w:r w:rsidRPr="00166AEC">
              <w:t>, problemi sui riparti.</w:t>
            </w:r>
          </w:p>
        </w:tc>
        <w:tc>
          <w:tcPr>
            <w:tcW w:w="1127" w:type="dxa"/>
            <w:shd w:val="clear" w:color="auto" w:fill="auto"/>
          </w:tcPr>
          <w:p w:rsidR="00C33EF0" w:rsidRPr="00E376AE" w:rsidRDefault="00C33EF0" w:rsidP="006F4119">
            <w:pPr>
              <w:rPr>
                <w:highlight w:val="yellow"/>
              </w:rPr>
            </w:pPr>
            <w:r w:rsidRPr="000C2629">
              <w:t>1.0</w:t>
            </w:r>
          </w:p>
        </w:tc>
      </w:tr>
    </w:tbl>
    <w:p w:rsidR="00C33EF0" w:rsidRPr="00166AEC" w:rsidRDefault="00C33EF0" w:rsidP="00C33EF0">
      <w:pPr>
        <w:keepNext/>
        <w:spacing w:before="240" w:after="120"/>
        <w:rPr>
          <w:b/>
          <w:sz w:val="18"/>
        </w:rPr>
      </w:pPr>
      <w:r w:rsidRPr="00166AEC">
        <w:rPr>
          <w:b/>
          <w:i/>
          <w:sz w:val="18"/>
        </w:rPr>
        <w:t>BIBLIOGRAFIA</w:t>
      </w:r>
    </w:p>
    <w:p w:rsidR="00C33EF0" w:rsidRDefault="00C33EF0" w:rsidP="00C33EF0">
      <w:pPr>
        <w:rPr>
          <w:sz w:val="18"/>
          <w:szCs w:val="18"/>
        </w:rPr>
      </w:pPr>
      <w:r>
        <w:rPr>
          <w:sz w:val="18"/>
          <w:szCs w:val="18"/>
        </w:rPr>
        <w:t xml:space="preserve">Data la natura introduttiva del programma, la maggior parte dei testi di estimo di livello universitario disponibili sul mercato possono essere un utile riferimento. </w:t>
      </w:r>
    </w:p>
    <w:p w:rsidR="00C33EF0" w:rsidRDefault="00C33EF0" w:rsidP="00C33EF0">
      <w:pPr>
        <w:rPr>
          <w:sz w:val="18"/>
          <w:szCs w:val="18"/>
        </w:rPr>
      </w:pPr>
      <w:r>
        <w:rPr>
          <w:sz w:val="18"/>
          <w:szCs w:val="18"/>
        </w:rPr>
        <w:t>Tra questi si segnala, in particolare:</w:t>
      </w:r>
    </w:p>
    <w:p w:rsidR="00C33EF0" w:rsidRDefault="00C33EF0" w:rsidP="00C33EF0">
      <w:pPr>
        <w:rPr>
          <w:sz w:val="18"/>
          <w:szCs w:val="18"/>
        </w:rPr>
      </w:pPr>
      <w:proofErr w:type="spellStart"/>
      <w:r>
        <w:rPr>
          <w:sz w:val="18"/>
          <w:szCs w:val="18"/>
        </w:rPr>
        <w:t>Gallerani</w:t>
      </w:r>
      <w:proofErr w:type="spellEnd"/>
      <w:r>
        <w:rPr>
          <w:sz w:val="18"/>
          <w:szCs w:val="18"/>
        </w:rPr>
        <w:t xml:space="preserve"> V., Zanni G. e Viaggi D., </w:t>
      </w:r>
      <w:r w:rsidRPr="00F81DBB">
        <w:rPr>
          <w:b/>
          <w:i/>
          <w:sz w:val="18"/>
          <w:szCs w:val="18"/>
        </w:rPr>
        <w:t>Manuale di Estimo</w:t>
      </w:r>
      <w:r>
        <w:rPr>
          <w:sz w:val="18"/>
          <w:szCs w:val="18"/>
        </w:rPr>
        <w:t>, McGraw-Hill, Milano (2004).</w:t>
      </w:r>
    </w:p>
    <w:p w:rsidR="00C33EF0" w:rsidRPr="003438B7" w:rsidRDefault="00C33EF0" w:rsidP="00C33EF0">
      <w:pPr>
        <w:rPr>
          <w:sz w:val="18"/>
          <w:szCs w:val="18"/>
        </w:rPr>
      </w:pPr>
    </w:p>
    <w:p w:rsidR="00C33EF0" w:rsidRDefault="00C33EF0" w:rsidP="00C33EF0">
      <w:pPr>
        <w:spacing w:before="240" w:after="120" w:line="220" w:lineRule="exact"/>
        <w:rPr>
          <w:b/>
          <w:i/>
          <w:sz w:val="18"/>
        </w:rPr>
      </w:pPr>
      <w:r>
        <w:rPr>
          <w:b/>
          <w:i/>
          <w:sz w:val="18"/>
        </w:rPr>
        <w:t>DIDATTICA DEL CORSO</w:t>
      </w:r>
    </w:p>
    <w:p w:rsidR="00C33EF0" w:rsidRDefault="00D50069" w:rsidP="00C33EF0">
      <w:pPr>
        <w:pStyle w:val="Testo2"/>
        <w:ind w:firstLine="0"/>
      </w:pPr>
      <w:r>
        <w:lastRenderedPageBreak/>
        <w:t>Per la parte relativa alla stima dei fondi rustici, i</w:t>
      </w:r>
      <w:r w:rsidR="00C33EF0">
        <w:t xml:space="preserve">l corso si basa </w:t>
      </w:r>
      <w:r>
        <w:t xml:space="preserve">sia </w:t>
      </w:r>
      <w:r w:rsidR="00C33EF0">
        <w:t xml:space="preserve">su lezioni nelle quali si </w:t>
      </w:r>
      <w:r>
        <w:t xml:space="preserve">spiegano i diversi metodi utilizzabili che </w:t>
      </w:r>
      <w:r w:rsidR="00392FAA">
        <w:t xml:space="preserve">su analisi di casi concreti con i </w:t>
      </w:r>
      <w:r>
        <w:t>quali si illustrano le modalità concrete di applicaz</w:t>
      </w:r>
      <w:r w:rsidR="00392FAA">
        <w:t>i</w:t>
      </w:r>
      <w:r>
        <w:t>one dei metodi analizati.</w:t>
      </w:r>
      <w:r w:rsidR="005D274B">
        <w:t xml:space="preserve"> Per la parte di matematica finanziaria le lezioni saranno volte alla illustrazione </w:t>
      </w:r>
      <w:r w:rsidR="00392FAA">
        <w:t xml:space="preserve">sia </w:t>
      </w:r>
      <w:r w:rsidR="005D274B">
        <w:t>della teoria alla base delle diverse formule che alla applicaz</w:t>
      </w:r>
      <w:r>
        <w:t>i</w:t>
      </w:r>
      <w:r w:rsidR="005D274B">
        <w:t>one concret</w:t>
      </w:r>
      <w:r w:rsidR="00392FAA">
        <w:t xml:space="preserve">a delle stesse formule, mediante lo svolgimento di esercizi numerici nei </w:t>
      </w:r>
      <w:r>
        <w:t>quali è previsto anche il coinvolgimento attivo degli studenti</w:t>
      </w:r>
      <w:r w:rsidR="00C33EF0">
        <w:t xml:space="preserve">. </w:t>
      </w:r>
      <w:r>
        <w:t xml:space="preserve">Gli esercizi svolti in aula saranno resi disponibili anche su blackboard. </w:t>
      </w:r>
      <w:r w:rsidR="00F62157">
        <w:t xml:space="preserve">Eventuali slide relative alla stima di fondi rustici o illustrazione di casi di stima utilizzati a lezione saranno messi a disposizione sul Blackboard dopo le lezioni. </w:t>
      </w:r>
    </w:p>
    <w:p w:rsidR="00C33EF0" w:rsidRDefault="00C33EF0" w:rsidP="00C33EF0">
      <w:pPr>
        <w:spacing w:before="240" w:after="120" w:line="220" w:lineRule="exact"/>
        <w:rPr>
          <w:b/>
          <w:i/>
          <w:sz w:val="18"/>
        </w:rPr>
      </w:pPr>
      <w:r>
        <w:rPr>
          <w:b/>
          <w:i/>
          <w:sz w:val="18"/>
        </w:rPr>
        <w:t>METODO E CRITERI DI VALUTAZIONE</w:t>
      </w:r>
    </w:p>
    <w:p w:rsidR="00C33EF0" w:rsidRDefault="00C33EF0" w:rsidP="00C33EF0">
      <w:pPr>
        <w:spacing w:line="240" w:lineRule="auto"/>
        <w:rPr>
          <w:rFonts w:ascii="Times New Roman" w:hAnsi="Times New Roman"/>
          <w:sz w:val="18"/>
          <w:szCs w:val="18"/>
        </w:rPr>
      </w:pPr>
      <w:r>
        <w:rPr>
          <w:rFonts w:ascii="Times New Roman" w:hAnsi="Times New Roman"/>
          <w:sz w:val="18"/>
          <w:szCs w:val="18"/>
        </w:rPr>
        <w:t xml:space="preserve">La valutazione viene effettuata mediante una prova scritta finale </w:t>
      </w:r>
      <w:r w:rsidR="00B94278">
        <w:rPr>
          <w:rFonts w:ascii="Times New Roman" w:hAnsi="Times New Roman"/>
          <w:sz w:val="18"/>
          <w:szCs w:val="18"/>
        </w:rPr>
        <w:t xml:space="preserve">volta a verificare il conseguimento degli obiettivi formativi, sia relativamente alla parte di programma sulla stima dei fondi rustici che per la parte di matematica finanziaria. </w:t>
      </w:r>
      <w:r w:rsidR="00D50069">
        <w:rPr>
          <w:rFonts w:ascii="Times New Roman" w:hAnsi="Times New Roman"/>
          <w:sz w:val="18"/>
          <w:szCs w:val="18"/>
        </w:rPr>
        <w:t xml:space="preserve">Il peso attribuito nella valutazione finale è pari al 60% per la </w:t>
      </w:r>
      <w:r w:rsidR="00B94278">
        <w:rPr>
          <w:rFonts w:ascii="Times New Roman" w:hAnsi="Times New Roman"/>
          <w:sz w:val="18"/>
          <w:szCs w:val="18"/>
        </w:rPr>
        <w:t xml:space="preserve">prima </w:t>
      </w:r>
      <w:r w:rsidR="00D50069">
        <w:rPr>
          <w:rFonts w:ascii="Times New Roman" w:hAnsi="Times New Roman"/>
          <w:sz w:val="18"/>
          <w:szCs w:val="18"/>
        </w:rPr>
        <w:t xml:space="preserve">parte </w:t>
      </w:r>
      <w:r w:rsidR="00B94278">
        <w:rPr>
          <w:rFonts w:ascii="Times New Roman" w:hAnsi="Times New Roman"/>
          <w:sz w:val="18"/>
          <w:szCs w:val="18"/>
        </w:rPr>
        <w:t xml:space="preserve">(18 voti su 30) </w:t>
      </w:r>
      <w:r w:rsidR="00D50069">
        <w:rPr>
          <w:rFonts w:ascii="Times New Roman" w:hAnsi="Times New Roman"/>
          <w:sz w:val="18"/>
          <w:szCs w:val="18"/>
        </w:rPr>
        <w:t>e 40% per la parte di matematica finanziaria</w:t>
      </w:r>
      <w:r w:rsidR="00B94278">
        <w:rPr>
          <w:rFonts w:ascii="Times New Roman" w:hAnsi="Times New Roman"/>
          <w:sz w:val="18"/>
          <w:szCs w:val="18"/>
        </w:rPr>
        <w:t xml:space="preserve"> (12 voti su 30)</w:t>
      </w:r>
      <w:r w:rsidR="00D50069">
        <w:rPr>
          <w:rFonts w:ascii="Times New Roman" w:hAnsi="Times New Roman"/>
          <w:sz w:val="18"/>
          <w:szCs w:val="18"/>
        </w:rPr>
        <w:t xml:space="preserve">. </w:t>
      </w:r>
      <w:r w:rsidR="00B94278">
        <w:rPr>
          <w:rFonts w:ascii="Times New Roman" w:hAnsi="Times New Roman"/>
          <w:sz w:val="18"/>
          <w:szCs w:val="18"/>
        </w:rPr>
        <w:t xml:space="preserve">Per il superamento dell’esame è necessario raggiungere almeno il 50% dei voti attribuiti a ciascuna delle due parti (9/18 voti per la stima dei fondi rustici e 6/12 per la matematica finanziaria.  </w:t>
      </w:r>
      <w:r w:rsidR="00D50069">
        <w:rPr>
          <w:rFonts w:ascii="Times New Roman" w:hAnsi="Times New Roman"/>
          <w:sz w:val="18"/>
          <w:szCs w:val="18"/>
        </w:rPr>
        <w:t xml:space="preserve">Il tempo a disposizione è di 90 minuti. </w:t>
      </w:r>
      <w:r>
        <w:rPr>
          <w:rFonts w:ascii="Times New Roman" w:hAnsi="Times New Roman"/>
          <w:sz w:val="18"/>
          <w:szCs w:val="18"/>
        </w:rPr>
        <w:t xml:space="preserve">La valutazione tiene conto sia della completezza che della precisione delle risposte fornite. </w:t>
      </w:r>
      <w:r w:rsidR="00D50069">
        <w:rPr>
          <w:rFonts w:ascii="Times New Roman" w:hAnsi="Times New Roman"/>
          <w:sz w:val="18"/>
          <w:szCs w:val="18"/>
        </w:rPr>
        <w:t>Sarà consentito portare una calcolatrice non programmabile (non la calcolatrice su telefono o smartphone)</w:t>
      </w:r>
      <w:r w:rsidR="00F62157">
        <w:rPr>
          <w:rFonts w:ascii="Times New Roman" w:hAnsi="Times New Roman"/>
          <w:sz w:val="18"/>
          <w:szCs w:val="18"/>
        </w:rPr>
        <w:t>; non sono consentite le tabelle di matematica finanziaria né altro materiale didattico</w:t>
      </w:r>
      <w:r w:rsidR="00392FAA">
        <w:rPr>
          <w:rFonts w:ascii="Times New Roman" w:hAnsi="Times New Roman"/>
          <w:sz w:val="18"/>
          <w:szCs w:val="18"/>
        </w:rPr>
        <w:t>.</w:t>
      </w:r>
    </w:p>
    <w:p w:rsidR="00C33EF0" w:rsidRDefault="00F62157" w:rsidP="00C33EF0">
      <w:pPr>
        <w:spacing w:line="240" w:lineRule="auto"/>
        <w:rPr>
          <w:rFonts w:ascii="Times New Roman" w:hAnsi="Times New Roman"/>
          <w:sz w:val="18"/>
          <w:szCs w:val="18"/>
        </w:rPr>
      </w:pPr>
      <w:r>
        <w:rPr>
          <w:rFonts w:ascii="Times New Roman" w:hAnsi="Times New Roman"/>
          <w:sz w:val="18"/>
          <w:szCs w:val="18"/>
        </w:rPr>
        <w:t xml:space="preserve">I risultati della valutazione saranno messi a disposizione degli studenti su </w:t>
      </w:r>
      <w:proofErr w:type="spellStart"/>
      <w:r>
        <w:rPr>
          <w:rFonts w:ascii="Times New Roman" w:hAnsi="Times New Roman"/>
          <w:sz w:val="18"/>
          <w:szCs w:val="18"/>
        </w:rPr>
        <w:t>Blackboard</w:t>
      </w:r>
      <w:proofErr w:type="spellEnd"/>
      <w:r>
        <w:rPr>
          <w:rFonts w:ascii="Times New Roman" w:hAnsi="Times New Roman"/>
          <w:sz w:val="18"/>
          <w:szCs w:val="18"/>
        </w:rPr>
        <w:t xml:space="preserve">. </w:t>
      </w:r>
    </w:p>
    <w:p w:rsidR="00C33EF0" w:rsidRDefault="00C33EF0" w:rsidP="00C33EF0">
      <w:pPr>
        <w:spacing w:line="240" w:lineRule="auto"/>
        <w:rPr>
          <w:rFonts w:ascii="Times New Roman" w:hAnsi="Times New Roman"/>
          <w:sz w:val="18"/>
          <w:szCs w:val="18"/>
        </w:rPr>
      </w:pPr>
    </w:p>
    <w:p w:rsidR="00392FAA" w:rsidRDefault="00392FAA" w:rsidP="00C33EF0">
      <w:pPr>
        <w:spacing w:line="240" w:lineRule="auto"/>
        <w:rPr>
          <w:rFonts w:ascii="Times New Roman" w:hAnsi="Times New Roman"/>
          <w:sz w:val="18"/>
          <w:szCs w:val="18"/>
        </w:rPr>
      </w:pPr>
    </w:p>
    <w:p w:rsidR="00C33EF0" w:rsidRPr="00F81DBB" w:rsidRDefault="00C33EF0" w:rsidP="00C33EF0">
      <w:pPr>
        <w:spacing w:line="240" w:lineRule="auto"/>
        <w:rPr>
          <w:rFonts w:ascii="Times New Roman" w:hAnsi="Times New Roman"/>
          <w:b/>
          <w:i/>
          <w:sz w:val="18"/>
          <w:szCs w:val="18"/>
        </w:rPr>
      </w:pPr>
      <w:r w:rsidRPr="00F81DBB">
        <w:rPr>
          <w:rFonts w:ascii="Times New Roman" w:hAnsi="Times New Roman"/>
          <w:b/>
          <w:i/>
          <w:sz w:val="18"/>
          <w:szCs w:val="18"/>
        </w:rPr>
        <w:t xml:space="preserve">AVVERTENZE E PREREQUISITI </w:t>
      </w:r>
    </w:p>
    <w:p w:rsidR="00C33EF0" w:rsidRDefault="00C33EF0" w:rsidP="00C33EF0">
      <w:pPr>
        <w:pStyle w:val="Testo2"/>
        <w:ind w:firstLine="0"/>
      </w:pPr>
    </w:p>
    <w:p w:rsidR="00C33EF0" w:rsidRDefault="00C33EF0" w:rsidP="00C33EF0">
      <w:pPr>
        <w:pStyle w:val="Testo2"/>
        <w:ind w:firstLine="0"/>
      </w:pPr>
      <w:bookmarkStart w:id="0" w:name="_GoBack"/>
      <w:r>
        <w:t xml:space="preserve">Una conoscenza degli elementi fondamentali di economia di mercato è necessaria. </w:t>
      </w:r>
    </w:p>
    <w:p w:rsidR="00413A1F" w:rsidRPr="005D3591" w:rsidRDefault="00413A1F" w:rsidP="00413A1F">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bookmarkEnd w:id="0"/>
    <w:p w:rsidR="00413A1F" w:rsidRDefault="00413A1F" w:rsidP="00C33EF0">
      <w:pPr>
        <w:pStyle w:val="Testo2"/>
        <w:ind w:firstLine="0"/>
      </w:pPr>
    </w:p>
    <w:p w:rsidR="00C33EF0" w:rsidRDefault="00C33EF0" w:rsidP="00C33EF0">
      <w:pPr>
        <w:pStyle w:val="Testo2"/>
        <w:ind w:firstLine="0"/>
      </w:pPr>
    </w:p>
    <w:p w:rsidR="00C33EF0" w:rsidRDefault="00C33EF0" w:rsidP="00C33EF0">
      <w:pPr>
        <w:pStyle w:val="Testo2"/>
        <w:ind w:firstLine="0"/>
      </w:pPr>
    </w:p>
    <w:p w:rsidR="00C33EF0" w:rsidRPr="00F81DBB" w:rsidRDefault="00C33EF0" w:rsidP="00C33EF0">
      <w:pPr>
        <w:pStyle w:val="Testo2"/>
        <w:ind w:firstLine="0"/>
        <w:rPr>
          <w:b/>
          <w:i/>
        </w:rPr>
      </w:pPr>
      <w:r w:rsidRPr="00F81DBB">
        <w:rPr>
          <w:b/>
          <w:i/>
        </w:rPr>
        <w:t>ORARIO E LUOGO RICEVIMENTO STUDENTI</w:t>
      </w:r>
    </w:p>
    <w:p w:rsidR="00C33EF0" w:rsidRPr="003438B7" w:rsidRDefault="00C33EF0" w:rsidP="00C33EF0">
      <w:pPr>
        <w:pStyle w:val="Testo2"/>
        <w:ind w:firstLine="0"/>
      </w:pPr>
    </w:p>
    <w:p w:rsidR="00C33EF0" w:rsidRPr="003438B7" w:rsidRDefault="00C33EF0" w:rsidP="00C33EF0">
      <w:pPr>
        <w:pStyle w:val="Testo2"/>
      </w:pPr>
      <w:r w:rsidRPr="003438B7">
        <w:t>I</w:t>
      </w:r>
      <w:r>
        <w:t xml:space="preserve">l docente </w:t>
      </w:r>
      <w:r w:rsidRPr="003438B7">
        <w:t>ricev</w:t>
      </w:r>
      <w:r>
        <w:t>e</w:t>
      </w:r>
      <w:r w:rsidRPr="003438B7">
        <w:t xml:space="preserve"> </w:t>
      </w:r>
      <w:r>
        <w:t>gli studenti presso il Dipartimento di Economia a</w:t>
      </w:r>
      <w:r w:rsidRPr="003438B7">
        <w:t>gro-alimentare</w:t>
      </w:r>
      <w:r>
        <w:t xml:space="preserve"> dopo le lezioni e negli orari indicati sul web (Blackboard)</w:t>
      </w:r>
      <w:r w:rsidRPr="003438B7">
        <w:t>.</w:t>
      </w:r>
    </w:p>
    <w:p w:rsidR="003438B7" w:rsidRPr="003438B7" w:rsidRDefault="003438B7" w:rsidP="00C33EF0">
      <w:pPr>
        <w:pStyle w:val="Testo2"/>
        <w:ind w:firstLine="0"/>
      </w:pPr>
    </w:p>
    <w:sectPr w:rsidR="003438B7" w:rsidRPr="003438B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318"/>
    <w:multiLevelType w:val="hybridMultilevel"/>
    <w:tmpl w:val="B6C64700"/>
    <w:lvl w:ilvl="0" w:tplc="5E5C866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6D64904"/>
    <w:multiLevelType w:val="singleLevel"/>
    <w:tmpl w:val="4C20EFA8"/>
    <w:lvl w:ilvl="0">
      <w:start w:val="1"/>
      <w:numFmt w:val="bullet"/>
      <w:lvlText w:val="-"/>
      <w:lvlJc w:val="left"/>
      <w:pPr>
        <w:tabs>
          <w:tab w:val="num" w:pos="360"/>
        </w:tabs>
        <w:ind w:left="360" w:hanging="360"/>
      </w:pPr>
      <w:rPr>
        <w:rFonts w:hint="default"/>
      </w:rPr>
    </w:lvl>
  </w:abstractNum>
  <w:abstractNum w:abstractNumId="2" w15:restartNumberingAfterBreak="0">
    <w:nsid w:val="21C24043"/>
    <w:multiLevelType w:val="hybridMultilevel"/>
    <w:tmpl w:val="45CACCC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B15F2B"/>
    <w:multiLevelType w:val="hybridMultilevel"/>
    <w:tmpl w:val="2C3AF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2C4E9F"/>
    <w:multiLevelType w:val="hybridMultilevel"/>
    <w:tmpl w:val="022EF252"/>
    <w:lvl w:ilvl="0" w:tplc="9C86710A">
      <w:start w:val="1"/>
      <w:numFmt w:val="bullet"/>
      <w:lvlText w:val="-"/>
      <w:lvlJc w:val="left"/>
      <w:pPr>
        <w:tabs>
          <w:tab w:val="num" w:pos="624"/>
        </w:tabs>
        <w:ind w:left="737" w:hanging="283"/>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86"/>
    <w:rsid w:val="000656D9"/>
    <w:rsid w:val="000C2629"/>
    <w:rsid w:val="00166AEC"/>
    <w:rsid w:val="001D3555"/>
    <w:rsid w:val="00285D2F"/>
    <w:rsid w:val="002C32E5"/>
    <w:rsid w:val="003438B7"/>
    <w:rsid w:val="00392FAA"/>
    <w:rsid w:val="003B774B"/>
    <w:rsid w:val="00413A1F"/>
    <w:rsid w:val="004B18EB"/>
    <w:rsid w:val="00525B15"/>
    <w:rsid w:val="00562386"/>
    <w:rsid w:val="00590267"/>
    <w:rsid w:val="005D1970"/>
    <w:rsid w:val="005D274B"/>
    <w:rsid w:val="005D46CF"/>
    <w:rsid w:val="005D5F49"/>
    <w:rsid w:val="005F706C"/>
    <w:rsid w:val="00602291"/>
    <w:rsid w:val="006332FC"/>
    <w:rsid w:val="00666A99"/>
    <w:rsid w:val="006B1416"/>
    <w:rsid w:val="006E7193"/>
    <w:rsid w:val="0076148B"/>
    <w:rsid w:val="007619EE"/>
    <w:rsid w:val="00765887"/>
    <w:rsid w:val="007C3512"/>
    <w:rsid w:val="007C5ABA"/>
    <w:rsid w:val="00837FE7"/>
    <w:rsid w:val="008B547A"/>
    <w:rsid w:val="008C79C3"/>
    <w:rsid w:val="009029BE"/>
    <w:rsid w:val="009758EE"/>
    <w:rsid w:val="00982751"/>
    <w:rsid w:val="009904D0"/>
    <w:rsid w:val="009E0250"/>
    <w:rsid w:val="009F24F6"/>
    <w:rsid w:val="00A076D5"/>
    <w:rsid w:val="00A10140"/>
    <w:rsid w:val="00AB019C"/>
    <w:rsid w:val="00B138CD"/>
    <w:rsid w:val="00B802D5"/>
    <w:rsid w:val="00B94278"/>
    <w:rsid w:val="00BA2C7A"/>
    <w:rsid w:val="00BC0670"/>
    <w:rsid w:val="00C21271"/>
    <w:rsid w:val="00C33EF0"/>
    <w:rsid w:val="00C754B4"/>
    <w:rsid w:val="00C812B5"/>
    <w:rsid w:val="00CF5208"/>
    <w:rsid w:val="00D50069"/>
    <w:rsid w:val="00DB2204"/>
    <w:rsid w:val="00DF5E11"/>
    <w:rsid w:val="00E20225"/>
    <w:rsid w:val="00E376AE"/>
    <w:rsid w:val="00E506DC"/>
    <w:rsid w:val="00E53255"/>
    <w:rsid w:val="00E624CF"/>
    <w:rsid w:val="00E7241D"/>
    <w:rsid w:val="00E84F1C"/>
    <w:rsid w:val="00E93984"/>
    <w:rsid w:val="00EF3BE9"/>
    <w:rsid w:val="00F01BB7"/>
    <w:rsid w:val="00F23ECC"/>
    <w:rsid w:val="00F54D03"/>
    <w:rsid w:val="00F62157"/>
    <w:rsid w:val="00F67E57"/>
    <w:rsid w:val="00FC1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A4073"/>
  <w15:docId w15:val="{381B2433-C28C-4211-978F-65DB322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438B7"/>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BA2C7A"/>
    <w:pPr>
      <w:keepNext/>
      <w:spacing w:before="240" w:after="120"/>
      <w:outlineLvl w:val="4"/>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438B7"/>
    <w:pPr>
      <w:widowControl w:val="0"/>
      <w:tabs>
        <w:tab w:val="left" w:pos="-703"/>
      </w:tabs>
      <w:spacing w:line="240" w:lineRule="auto"/>
      <w:ind w:left="284" w:hanging="284"/>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
    <w:name w:val="Corpo del testo"/>
    <w:basedOn w:val="Normale"/>
    <w:rsid w:val="003438B7"/>
    <w:pPr>
      <w:spacing w:after="120"/>
    </w:pPr>
  </w:style>
  <w:style w:type="paragraph" w:styleId="Testofumetto">
    <w:name w:val="Balloon Text"/>
    <w:basedOn w:val="Normale"/>
    <w:link w:val="TestofumettoCarattere"/>
    <w:rsid w:val="00765887"/>
    <w:pPr>
      <w:spacing w:line="240" w:lineRule="auto"/>
    </w:pPr>
    <w:rPr>
      <w:rFonts w:ascii="Tahoma" w:hAnsi="Tahoma" w:cs="Tahoma"/>
      <w:sz w:val="16"/>
      <w:szCs w:val="16"/>
    </w:rPr>
  </w:style>
  <w:style w:type="character" w:customStyle="1" w:styleId="TestofumettoCarattere">
    <w:name w:val="Testo fumetto Carattere"/>
    <w:link w:val="Testofumetto"/>
    <w:rsid w:val="00765887"/>
    <w:rPr>
      <w:rFonts w:ascii="Tahoma" w:hAnsi="Tahoma" w:cs="Tahoma"/>
      <w:sz w:val="16"/>
      <w:szCs w:val="16"/>
    </w:rPr>
  </w:style>
  <w:style w:type="paragraph" w:styleId="Paragrafoelenco">
    <w:name w:val="List Paragraph"/>
    <w:basedOn w:val="Normale"/>
    <w:uiPriority w:val="34"/>
    <w:qFormat/>
    <w:rsid w:val="00E84F1C"/>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Corpotesto">
    <w:name w:val="Body Text"/>
    <w:basedOn w:val="Normale"/>
    <w:link w:val="CorpotestoCarattere"/>
    <w:semiHidden/>
    <w:unhideWhenUsed/>
    <w:rsid w:val="009904D0"/>
    <w:pPr>
      <w:spacing w:after="120"/>
    </w:pPr>
  </w:style>
  <w:style w:type="character" w:customStyle="1" w:styleId="CorpotestoCarattere">
    <w:name w:val="Corpo testo Carattere"/>
    <w:basedOn w:val="Carpredefinitoparagrafo"/>
    <w:link w:val="Corpotesto"/>
    <w:semiHidden/>
    <w:rsid w:val="009904D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3268-A175-4BC0-9672-21B7DC2F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41</TotalTime>
  <Pages>5</Pages>
  <Words>1420</Words>
  <Characters>8629</Characters>
  <Application>Microsoft Office Word</Application>
  <DocSecurity>0</DocSecurity>
  <Lines>71</Lines>
  <Paragraphs>20</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 Economia e Politica Agraria con Elementi di Estimo</vt:lpstr>
      <vt:lpstr>    Proff. Paolo Sckokai – Lucia Tirelli – Gabriele Canali</vt:lpstr>
      <vt:lpstr>.- Mod. 1: Economia e Politica Agraria </vt:lpstr>
      <vt:lpstr>    Proff. Paolo Sckokai – Lucia Tirelli</vt:lpstr>
      <vt:lpstr>.- Mod. 2: Elementi di Estimo (3 CFU) </vt:lpstr>
      <vt:lpstr>    Prof. Gabriele Canali</vt:lpstr>
    </vt:vector>
  </TitlesOfParts>
  <Company>U.C.S.C. MILANO</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8</cp:revision>
  <cp:lastPrinted>2013-04-23T08:43:00Z</cp:lastPrinted>
  <dcterms:created xsi:type="dcterms:W3CDTF">2019-06-13T18:23:00Z</dcterms:created>
  <dcterms:modified xsi:type="dcterms:W3CDTF">2020-06-29T07:25:00Z</dcterms:modified>
</cp:coreProperties>
</file>