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AEA5" w14:textId="77777777" w:rsidR="00A346A3" w:rsidRPr="00E25243" w:rsidRDefault="00CB2ED5">
      <w:pPr>
        <w:pStyle w:val="Titolo1"/>
      </w:pPr>
      <w:bookmarkStart w:id="0" w:name="_GoBack"/>
      <w:bookmarkEnd w:id="0"/>
      <w:r w:rsidRPr="00E25243">
        <w:t xml:space="preserve">Politica Economica Avanzata </w:t>
      </w:r>
    </w:p>
    <w:p w14:paraId="455ECA3B" w14:textId="77777777" w:rsidR="003F32D8" w:rsidRPr="00E25243" w:rsidRDefault="00FC721B" w:rsidP="003F32D8">
      <w:pPr>
        <w:pStyle w:val="Titolo2"/>
      </w:pPr>
      <w:r>
        <w:t>Pro</w:t>
      </w:r>
      <w:r w:rsidR="00424EA4" w:rsidRPr="00E25243">
        <w:t>f</w:t>
      </w:r>
      <w:r w:rsidR="003F32D8" w:rsidRPr="00E25243">
        <w:t xml:space="preserve">. </w:t>
      </w:r>
      <w:r w:rsidR="00E34769" w:rsidRPr="00E25243">
        <w:t>Francesco Timpano</w:t>
      </w:r>
    </w:p>
    <w:p w14:paraId="60810E8D" w14:textId="77777777" w:rsidR="00177EFB" w:rsidRDefault="00177EFB" w:rsidP="002B431B">
      <w:pPr>
        <w:spacing w:after="100" w:afterAutospacing="1"/>
        <w:rPr>
          <w:b/>
        </w:rPr>
      </w:pPr>
    </w:p>
    <w:p w14:paraId="52181E40" w14:textId="77777777" w:rsidR="002B431B" w:rsidRPr="005A5A37" w:rsidRDefault="005A5A37" w:rsidP="000717E5">
      <w:pPr>
        <w:spacing w:before="120"/>
        <w:rPr>
          <w:b/>
          <w:i/>
          <w:sz w:val="18"/>
          <w:szCs w:val="18"/>
        </w:rPr>
      </w:pPr>
      <w:r w:rsidRPr="005A5A37">
        <w:rPr>
          <w:b/>
          <w:i/>
          <w:sz w:val="18"/>
          <w:szCs w:val="18"/>
        </w:rPr>
        <w:t>OBIETTIVO DEL CORSO</w:t>
      </w:r>
    </w:p>
    <w:p w14:paraId="024D4DBA" w14:textId="77777777" w:rsidR="00B83EE6" w:rsidRDefault="002B431B" w:rsidP="000717E5">
      <w:pPr>
        <w:spacing w:before="120"/>
      </w:pPr>
      <w:r w:rsidRPr="002B431B">
        <w:t xml:space="preserve">Il corso è introdotto da </w:t>
      </w:r>
      <w:r w:rsidR="00B83EE6">
        <w:t>una riflessione sul significato delle politiche a partire dal concetto, applicato ampiamente nelle politiche europee, di definizione di “fallimento di mercato”. Si procede poi all’approfondimento di alcuni temi, svolto in ogni caso nella prospettiva di fornire allo studente alcuni strumenti per comprendere l’approccio di policy prevalente, in particolare con riferimento alle politiche di sostegno alle imprese.</w:t>
      </w:r>
    </w:p>
    <w:p w14:paraId="6AAB8F31" w14:textId="77777777" w:rsidR="00B83EE6" w:rsidRDefault="00B83EE6" w:rsidP="000717E5">
      <w:pPr>
        <w:spacing w:before="120"/>
      </w:pPr>
      <w:r>
        <w:t>Nella prima parte del corso si analizzano il processo europeo di convergenza tra i paesi e le regioni e le politiche di coesione che ne sono scaturite, introducendo anche il dibattito teorico tra approccio “</w:t>
      </w:r>
      <w:proofErr w:type="spellStart"/>
      <w:r>
        <w:t>place-based</w:t>
      </w:r>
      <w:proofErr w:type="spellEnd"/>
      <w:r>
        <w:t>” alle politiche e approccio “</w:t>
      </w:r>
      <w:proofErr w:type="spellStart"/>
      <w:r>
        <w:t>spatially</w:t>
      </w:r>
      <w:proofErr w:type="spellEnd"/>
      <w:r>
        <w:t xml:space="preserve"> </w:t>
      </w:r>
      <w:proofErr w:type="spellStart"/>
      <w:r>
        <w:t>neutral</w:t>
      </w:r>
      <w:proofErr w:type="spellEnd"/>
      <w:r>
        <w:t xml:space="preserve">”. </w:t>
      </w:r>
    </w:p>
    <w:p w14:paraId="52A1349A" w14:textId="77777777" w:rsidR="00B83EE6" w:rsidRDefault="00B83EE6" w:rsidP="000717E5">
      <w:pPr>
        <w:spacing w:before="120"/>
      </w:pPr>
      <w:r>
        <w:t xml:space="preserve">Nella seconda parte del corso si analizza il concetto di competitività (territoriale) e le politiche che ne sono scaturite nel contesto europeo a partire dalla Strategia di Lisbona e dalla più recente Europe 2020. </w:t>
      </w:r>
      <w:r w:rsidR="00F87146">
        <w:t>In questo contesto si introduce anche il dibattito circa il significato di trattare il concetto di competitività territoriale o di confronto di competitività tra paesi e regioni.</w:t>
      </w:r>
    </w:p>
    <w:p w14:paraId="0D6BD4B6" w14:textId="77777777" w:rsidR="00B83EE6" w:rsidRDefault="00B83EE6" w:rsidP="000717E5">
      <w:pPr>
        <w:spacing w:before="120"/>
      </w:pPr>
      <w:r>
        <w:t>Nella terza parte del corso si intro</w:t>
      </w:r>
      <w:r w:rsidR="00802B48">
        <w:t>duce al tema delle politiche a sostegno del</w:t>
      </w:r>
      <w:r>
        <w:t>l’innovazione ed in particolare al concetto di cluster (industriale) e di politiche cluster-</w:t>
      </w:r>
      <w:proofErr w:type="spellStart"/>
      <w:r>
        <w:t>based</w:t>
      </w:r>
      <w:proofErr w:type="spellEnd"/>
      <w:r>
        <w:t xml:space="preserve">. </w:t>
      </w:r>
      <w:r w:rsidR="00F87146">
        <w:t>A partire dall’evidenza empirica sulle ragioni dell’agglomerazione territoriale delle imprese e delle specializzazioni produttive a livello territoriale</w:t>
      </w:r>
      <w:r w:rsidR="00802B48">
        <w:t>, viene approfondito il rapporto tra sviluppo economico e distribuzione spaziale delle at</w:t>
      </w:r>
      <w:r w:rsidR="005D3673">
        <w:t>tività economiche sia a livello urbano che regionale e nazionale, studiando fenomeni quali l’agglomerazione, la concentrazione e la specializzazione produttiva. Il fenomeno è analizzato in tutte le sue dimensioni di implicazioni di policy.</w:t>
      </w:r>
    </w:p>
    <w:p w14:paraId="7CCBF8A5" w14:textId="77777777" w:rsidR="005D3673" w:rsidRDefault="005D3673" w:rsidP="000717E5">
      <w:pPr>
        <w:spacing w:before="120"/>
      </w:pPr>
      <w:r>
        <w:t>Nell’ultima parte si proporrà una riflessione monografica sul rapporto tra crescita economica e territorio con riferimento al caso italiano. Si proporrà un’analisi della crisi economica e del ruolo che politiche industriali e politiche regionali possono avere per attenuarne l’impatto negativo sull’economia e sulla società italiana.</w:t>
      </w:r>
    </w:p>
    <w:p w14:paraId="380ECA6D" w14:textId="77777777" w:rsidR="000717E5" w:rsidRPr="002B431B" w:rsidRDefault="000717E5" w:rsidP="000717E5">
      <w:pPr>
        <w:spacing w:before="120"/>
      </w:pPr>
    </w:p>
    <w:p w14:paraId="2A78946F" w14:textId="77777777" w:rsidR="002B431B" w:rsidRPr="002B431B" w:rsidRDefault="002B431B" w:rsidP="002B431B">
      <w:pPr>
        <w:rPr>
          <w:b/>
          <w:i/>
          <w:sz w:val="14"/>
          <w:szCs w:val="14"/>
        </w:rPr>
      </w:pPr>
      <w:r w:rsidRPr="002B431B">
        <w:t xml:space="preserve"> </w:t>
      </w:r>
      <w:r w:rsidRPr="002B431B">
        <w:rPr>
          <w:b/>
          <w:i/>
          <w:sz w:val="14"/>
          <w:szCs w:val="14"/>
        </w:rPr>
        <w:t>RISULTATI DI APPRENDIMENTO</w:t>
      </w:r>
    </w:p>
    <w:p w14:paraId="6EE3422F" w14:textId="77777777" w:rsidR="00177EFB" w:rsidRDefault="002B431B" w:rsidP="00177EFB">
      <w:pPr>
        <w:numPr>
          <w:ilvl w:val="0"/>
          <w:numId w:val="4"/>
        </w:numPr>
        <w:tabs>
          <w:tab w:val="clear" w:pos="284"/>
          <w:tab w:val="clear" w:pos="1429"/>
          <w:tab w:val="num" w:pos="-3261"/>
          <w:tab w:val="num" w:pos="142"/>
        </w:tabs>
        <w:ind w:left="142" w:hanging="142"/>
      </w:pPr>
      <w:r w:rsidRPr="002B431B">
        <w:lastRenderedPageBreak/>
        <w:t>Capacità di analisi del posizionamento competitivo dei sistemi territoriali nella dimensione europea della co</w:t>
      </w:r>
      <w:r w:rsidR="00177EFB">
        <w:t>nvergenza e della competitività.</w:t>
      </w:r>
    </w:p>
    <w:p w14:paraId="1F6EF971" w14:textId="77777777" w:rsidR="00177EFB" w:rsidRDefault="00177EFB" w:rsidP="00177EFB">
      <w:pPr>
        <w:numPr>
          <w:ilvl w:val="0"/>
          <w:numId w:val="4"/>
        </w:numPr>
        <w:tabs>
          <w:tab w:val="clear" w:pos="284"/>
          <w:tab w:val="clear" w:pos="1429"/>
          <w:tab w:val="num" w:pos="-3261"/>
          <w:tab w:val="num" w:pos="142"/>
        </w:tabs>
        <w:ind w:left="142" w:hanging="142"/>
      </w:pPr>
      <w:r>
        <w:t>Capacità di comprendere la dimensione spaziale dello sviluppo dell’attività economica.</w:t>
      </w:r>
    </w:p>
    <w:p w14:paraId="7F641AF8" w14:textId="77777777" w:rsidR="00177EFB" w:rsidRDefault="00177EFB" w:rsidP="00177EFB">
      <w:pPr>
        <w:numPr>
          <w:ilvl w:val="0"/>
          <w:numId w:val="4"/>
        </w:numPr>
        <w:tabs>
          <w:tab w:val="clear" w:pos="284"/>
          <w:tab w:val="clear" w:pos="1429"/>
          <w:tab w:val="num" w:pos="-3261"/>
          <w:tab w:val="num" w:pos="142"/>
        </w:tabs>
        <w:ind w:left="142" w:hanging="142"/>
      </w:pPr>
      <w:r>
        <w:t>Capacità di conoscere ed utilizzare la strumentazione di policy destinata alle imprese.</w:t>
      </w:r>
    </w:p>
    <w:p w14:paraId="3E6BA1C4" w14:textId="77777777" w:rsidR="000717E5" w:rsidRPr="00177EFB" w:rsidRDefault="000717E5" w:rsidP="000717E5">
      <w:pPr>
        <w:tabs>
          <w:tab w:val="clear" w:pos="284"/>
          <w:tab w:val="num" w:pos="1429"/>
        </w:tabs>
        <w:ind w:left="142"/>
      </w:pPr>
    </w:p>
    <w:p w14:paraId="60AB7985" w14:textId="77777777" w:rsidR="00E51D6C" w:rsidRDefault="002B431B" w:rsidP="00E51D6C">
      <w:pPr>
        <w:tabs>
          <w:tab w:val="clear" w:pos="284"/>
          <w:tab w:val="num" w:pos="1429"/>
        </w:tabs>
        <w:spacing w:before="120"/>
        <w:ind w:left="142"/>
        <w:rPr>
          <w:b/>
          <w:sz w:val="18"/>
        </w:rPr>
      </w:pPr>
      <w:r w:rsidRPr="00177EFB">
        <w:rPr>
          <w:b/>
          <w:i/>
          <w:sz w:val="18"/>
        </w:rPr>
        <w:t>PROGRAMMA DEL CORSO</w:t>
      </w:r>
    </w:p>
    <w:p w14:paraId="10DE5555" w14:textId="4240258A" w:rsidR="00E51D6C" w:rsidRPr="004F60F2" w:rsidRDefault="00E51D6C" w:rsidP="00114E56">
      <w:pPr>
        <w:pStyle w:val="Paragrafoelenco"/>
        <w:numPr>
          <w:ilvl w:val="0"/>
          <w:numId w:val="9"/>
        </w:numPr>
        <w:tabs>
          <w:tab w:val="clear" w:pos="284"/>
        </w:tabs>
        <w:spacing w:before="120"/>
      </w:pPr>
      <w:r w:rsidRPr="004F60F2">
        <w:t>Fallimento del mercato e ragioni per la politica economica: la prospettiva europea</w:t>
      </w:r>
    </w:p>
    <w:p w14:paraId="7CDCEB69" w14:textId="3743603F" w:rsidR="00E51D6C" w:rsidRDefault="004F60F2" w:rsidP="00114E56">
      <w:pPr>
        <w:pStyle w:val="Paragrafoelenco"/>
        <w:numPr>
          <w:ilvl w:val="0"/>
          <w:numId w:val="9"/>
        </w:numPr>
        <w:tabs>
          <w:tab w:val="clear" w:pos="284"/>
        </w:tabs>
        <w:spacing w:before="120"/>
      </w:pPr>
      <w:r w:rsidRPr="004F60F2">
        <w:t>Convergenza</w:t>
      </w:r>
      <w:r>
        <w:t xml:space="preserve"> e politiche di coesione in Europa</w:t>
      </w:r>
    </w:p>
    <w:p w14:paraId="4069D5FF" w14:textId="7F665CE2" w:rsidR="004F60F2" w:rsidRDefault="004F60F2" w:rsidP="00114E56">
      <w:pPr>
        <w:pStyle w:val="Paragrafoelenco"/>
        <w:numPr>
          <w:ilvl w:val="0"/>
          <w:numId w:val="9"/>
        </w:numPr>
        <w:tabs>
          <w:tab w:val="clear" w:pos="284"/>
        </w:tabs>
        <w:spacing w:before="120"/>
      </w:pPr>
      <w:r>
        <w:t>Competitività territoriale e politiche per la competitività in Europa</w:t>
      </w:r>
    </w:p>
    <w:p w14:paraId="2ED0129A" w14:textId="7EB2F2E0" w:rsidR="004F60F2" w:rsidRDefault="004F60F2" w:rsidP="00114E56">
      <w:pPr>
        <w:pStyle w:val="Paragrafoelenco"/>
        <w:numPr>
          <w:ilvl w:val="0"/>
          <w:numId w:val="9"/>
        </w:numPr>
        <w:tabs>
          <w:tab w:val="clear" w:pos="284"/>
        </w:tabs>
        <w:spacing w:before="120"/>
      </w:pPr>
      <w:r>
        <w:t>Politiche a sostegno dell’innovazione e cluster industriali</w:t>
      </w:r>
    </w:p>
    <w:p w14:paraId="35865D38" w14:textId="0739CB7C" w:rsidR="004F60F2" w:rsidRDefault="004F60F2" w:rsidP="00114E56">
      <w:pPr>
        <w:pStyle w:val="Paragrafoelenco"/>
        <w:numPr>
          <w:ilvl w:val="0"/>
          <w:numId w:val="9"/>
        </w:numPr>
        <w:tabs>
          <w:tab w:val="clear" w:pos="284"/>
        </w:tabs>
        <w:spacing w:before="120"/>
      </w:pPr>
      <w:r>
        <w:t>Distribuzione spaziale delle attività economiche: agglomerazione, concentrazione e specializzazione produttiva</w:t>
      </w:r>
    </w:p>
    <w:p w14:paraId="321C6ACB" w14:textId="4F401070" w:rsidR="004F60F2" w:rsidRPr="004F60F2" w:rsidRDefault="004F60F2" w:rsidP="00114E56">
      <w:pPr>
        <w:pStyle w:val="Paragrafoelenco"/>
        <w:numPr>
          <w:ilvl w:val="0"/>
          <w:numId w:val="9"/>
        </w:numPr>
        <w:tabs>
          <w:tab w:val="clear" w:pos="284"/>
        </w:tabs>
        <w:spacing w:before="120"/>
      </w:pPr>
      <w:r>
        <w:t>Crescita, investimenti e territorio</w:t>
      </w:r>
    </w:p>
    <w:p w14:paraId="0FB9D6F2" w14:textId="77777777" w:rsidR="002B431B" w:rsidRPr="004F60F2" w:rsidRDefault="002B431B" w:rsidP="00E51D6C">
      <w:pPr>
        <w:tabs>
          <w:tab w:val="clear" w:pos="284"/>
          <w:tab w:val="left" w:pos="0"/>
          <w:tab w:val="num" w:pos="142"/>
        </w:tabs>
        <w:ind w:left="142" w:hanging="11"/>
      </w:pPr>
    </w:p>
    <w:p w14:paraId="6777C306" w14:textId="77777777" w:rsidR="002B431B" w:rsidRPr="002B431B" w:rsidRDefault="002B431B" w:rsidP="000717E5">
      <w:pPr>
        <w:spacing w:before="120"/>
      </w:pPr>
      <w:r w:rsidRPr="002B431B">
        <w:rPr>
          <w:b/>
          <w:i/>
          <w:sz w:val="18"/>
        </w:rPr>
        <w:t>BIBLIOGRAFIA</w:t>
      </w:r>
    </w:p>
    <w:p w14:paraId="7881B776" w14:textId="77777777" w:rsidR="002B431B" w:rsidRPr="002B431B" w:rsidRDefault="002B431B" w:rsidP="000717E5">
      <w:pPr>
        <w:tabs>
          <w:tab w:val="clear" w:pos="284"/>
        </w:tabs>
        <w:spacing w:before="120" w:line="220" w:lineRule="exact"/>
        <w:rPr>
          <w:noProof/>
          <w:sz w:val="18"/>
        </w:rPr>
      </w:pPr>
      <w:r w:rsidRPr="002B431B">
        <w:rPr>
          <w:noProof/>
          <w:sz w:val="18"/>
        </w:rPr>
        <w:t xml:space="preserve">Il docente distribuirà dispense e materiali per </w:t>
      </w:r>
      <w:r w:rsidR="00177EFB">
        <w:rPr>
          <w:noProof/>
          <w:sz w:val="18"/>
        </w:rPr>
        <w:t>ognuno degli argomenti indicati, in particolare con riferimento alle politiche europee per la crescita, la convergenza e la competitività e per le politiche di sostegno alle imprese.</w:t>
      </w:r>
    </w:p>
    <w:p w14:paraId="2368147E" w14:textId="44568FF1" w:rsidR="002B431B" w:rsidRPr="002B431B" w:rsidRDefault="00177EFB" w:rsidP="002B431B">
      <w:pPr>
        <w:tabs>
          <w:tab w:val="clear" w:pos="284"/>
        </w:tabs>
        <w:spacing w:line="220" w:lineRule="exact"/>
        <w:ind w:left="284" w:hanging="284"/>
        <w:rPr>
          <w:noProof/>
          <w:sz w:val="18"/>
        </w:rPr>
      </w:pPr>
      <w:r>
        <w:rPr>
          <w:noProof/>
          <w:sz w:val="18"/>
        </w:rPr>
        <w:t xml:space="preserve">Con riferimento </w:t>
      </w:r>
      <w:r w:rsidR="00114E56">
        <w:rPr>
          <w:noProof/>
          <w:sz w:val="18"/>
        </w:rPr>
        <w:t>al punto 5</w:t>
      </w:r>
      <w:r>
        <w:rPr>
          <w:noProof/>
          <w:sz w:val="18"/>
        </w:rPr>
        <w:t>, la</w:t>
      </w:r>
      <w:r w:rsidR="002B431B" w:rsidRPr="002B431B">
        <w:rPr>
          <w:noProof/>
          <w:sz w:val="18"/>
        </w:rPr>
        <w:t xml:space="preserve"> bibliografia di riferimento è la seguente:</w:t>
      </w:r>
    </w:p>
    <w:p w14:paraId="6AE6EB88" w14:textId="77777777" w:rsidR="002B431B" w:rsidRPr="002B431B" w:rsidRDefault="002B431B" w:rsidP="002B431B">
      <w:pPr>
        <w:tabs>
          <w:tab w:val="clear" w:pos="284"/>
        </w:tabs>
        <w:spacing w:line="220" w:lineRule="exact"/>
        <w:ind w:left="284" w:hanging="284"/>
        <w:rPr>
          <w:noProof/>
          <w:sz w:val="18"/>
          <w:szCs w:val="18"/>
          <w:lang w:val="en-US"/>
        </w:rPr>
      </w:pPr>
      <w:r w:rsidRPr="009B0237">
        <w:rPr>
          <w:smallCaps/>
          <w:noProof/>
          <w:sz w:val="16"/>
          <w:szCs w:val="16"/>
        </w:rPr>
        <w:t xml:space="preserve"> </w:t>
      </w:r>
      <w:r w:rsidR="005A5A37" w:rsidRPr="005A5A37">
        <w:rPr>
          <w:smallCaps/>
          <w:noProof/>
          <w:sz w:val="16"/>
          <w:szCs w:val="16"/>
          <w:lang w:val="en-US"/>
        </w:rPr>
        <w:t>S</w:t>
      </w:r>
      <w:r w:rsidRPr="002B431B">
        <w:rPr>
          <w:smallCaps/>
          <w:noProof/>
          <w:sz w:val="16"/>
          <w:lang w:val="en-GB"/>
        </w:rPr>
        <w:t xml:space="preserve">. </w:t>
      </w:r>
      <w:r w:rsidR="005A5A37">
        <w:rPr>
          <w:smallCaps/>
          <w:noProof/>
          <w:sz w:val="16"/>
          <w:lang w:val="en-US"/>
        </w:rPr>
        <w:t>Brakman– H. Gerrretsed– C</w:t>
      </w:r>
      <w:r w:rsidRPr="002B431B">
        <w:rPr>
          <w:smallCaps/>
          <w:noProof/>
          <w:sz w:val="16"/>
          <w:lang w:val="en-US"/>
        </w:rPr>
        <w:t xml:space="preserve">. Van Marrewijk, </w:t>
      </w:r>
      <w:r w:rsidRPr="002B431B">
        <w:rPr>
          <w:rFonts w:ascii="TimesNewRomanPS-ItalicMT" w:hAnsi="TimesNewRomanPS-ItalicMT"/>
          <w:i/>
          <w:iCs/>
          <w:noProof/>
          <w:sz w:val="18"/>
          <w:szCs w:val="18"/>
          <w:lang w:val="en-US"/>
        </w:rPr>
        <w:t>The New Introduction to Geo</w:t>
      </w:r>
      <w:r w:rsidRPr="002B431B">
        <w:rPr>
          <w:rFonts w:ascii="TimesNewRomanPS-ItalicMT" w:hAnsi="TimesNewRomanPS-ItalicMT"/>
          <w:i/>
          <w:iCs/>
          <w:noProof/>
          <w:sz w:val="18"/>
          <w:szCs w:val="18"/>
          <w:lang w:val="en-US"/>
        </w:rPr>
        <w:tab/>
        <w:t xml:space="preserve">graphical Economics, </w:t>
      </w:r>
      <w:r w:rsidRPr="002B431B">
        <w:rPr>
          <w:noProof/>
          <w:sz w:val="18"/>
          <w:szCs w:val="18"/>
          <w:lang w:val="en-US"/>
        </w:rPr>
        <w:t>Cambridge University Press, Second edition, 2009.</w:t>
      </w:r>
    </w:p>
    <w:p w14:paraId="37E69E5E" w14:textId="77777777" w:rsidR="002B431B" w:rsidRDefault="002B431B" w:rsidP="002B431B">
      <w:pPr>
        <w:tabs>
          <w:tab w:val="clear" w:pos="284"/>
        </w:tabs>
        <w:spacing w:line="220" w:lineRule="exact"/>
        <w:rPr>
          <w:noProof/>
          <w:sz w:val="18"/>
          <w:szCs w:val="18"/>
        </w:rPr>
      </w:pPr>
      <w:r w:rsidRPr="002B431B">
        <w:rPr>
          <w:smallCaps/>
          <w:noProof/>
          <w:sz w:val="16"/>
        </w:rPr>
        <w:t>M.C. Piva-F. Timpano</w:t>
      </w:r>
      <w:r w:rsidRPr="002B431B">
        <w:rPr>
          <w:noProof/>
          <w:sz w:val="11"/>
          <w:szCs w:val="11"/>
        </w:rPr>
        <w:t xml:space="preserve"> </w:t>
      </w:r>
      <w:r w:rsidRPr="002B431B">
        <w:rPr>
          <w:noProof/>
          <w:sz w:val="18"/>
        </w:rPr>
        <w:t xml:space="preserve">(a cura di), </w:t>
      </w:r>
      <w:r w:rsidRPr="002B431B">
        <w:rPr>
          <w:rFonts w:ascii="TimesNewRomanPS-ItalicMT" w:hAnsi="TimesNewRomanPS-ItalicMT"/>
          <w:i/>
          <w:iCs/>
          <w:noProof/>
          <w:sz w:val="18"/>
          <w:szCs w:val="18"/>
        </w:rPr>
        <w:t xml:space="preserve">Cluster policy and local development, </w:t>
      </w:r>
      <w:r w:rsidRPr="002B431B">
        <w:rPr>
          <w:noProof/>
          <w:sz w:val="18"/>
          <w:szCs w:val="18"/>
        </w:rPr>
        <w:t>Vita e Pensiero, 2008.</w:t>
      </w:r>
    </w:p>
    <w:p w14:paraId="25564D99" w14:textId="77777777" w:rsidR="000717E5" w:rsidRPr="002B431B" w:rsidRDefault="000717E5" w:rsidP="002B431B">
      <w:pPr>
        <w:tabs>
          <w:tab w:val="clear" w:pos="284"/>
        </w:tabs>
        <w:spacing w:line="220" w:lineRule="exact"/>
        <w:rPr>
          <w:noProof/>
          <w:sz w:val="18"/>
          <w:szCs w:val="18"/>
        </w:rPr>
      </w:pPr>
    </w:p>
    <w:p w14:paraId="7AEBAB10" w14:textId="77777777" w:rsidR="002B431B" w:rsidRPr="002B431B" w:rsidRDefault="002B431B" w:rsidP="000717E5">
      <w:pPr>
        <w:spacing w:before="120" w:line="220" w:lineRule="exact"/>
        <w:rPr>
          <w:b/>
          <w:i/>
          <w:sz w:val="18"/>
        </w:rPr>
      </w:pPr>
      <w:r w:rsidRPr="002B431B">
        <w:rPr>
          <w:b/>
          <w:i/>
          <w:sz w:val="18"/>
        </w:rPr>
        <w:t>DIDATTICA DEL CORSO</w:t>
      </w:r>
    </w:p>
    <w:p w14:paraId="3E0E85C4" w14:textId="77777777" w:rsidR="002B431B" w:rsidRPr="002B431B" w:rsidRDefault="002B431B" w:rsidP="000717E5">
      <w:pPr>
        <w:tabs>
          <w:tab w:val="clear" w:pos="284"/>
        </w:tabs>
        <w:spacing w:before="120" w:line="220" w:lineRule="exact"/>
        <w:rPr>
          <w:noProof/>
          <w:sz w:val="18"/>
        </w:rPr>
      </w:pPr>
      <w:r w:rsidRPr="002B431B">
        <w:rPr>
          <w:noProof/>
          <w:sz w:val="18"/>
        </w:rPr>
        <w:t>La didattic</w:t>
      </w:r>
      <w:r w:rsidR="00F7769D">
        <w:rPr>
          <w:noProof/>
          <w:sz w:val="18"/>
        </w:rPr>
        <w:t xml:space="preserve">a è basata su lezioni frontali, seminari e </w:t>
      </w:r>
      <w:r w:rsidRPr="002B431B">
        <w:rPr>
          <w:noProof/>
          <w:sz w:val="18"/>
        </w:rPr>
        <w:t xml:space="preserve"> studio di casi. Saranno anche organizzate delle presentazioni degli studenti su argomenti del corso e momenti di valutazione intermedia.</w:t>
      </w:r>
    </w:p>
    <w:p w14:paraId="4E2E7AE8" w14:textId="77777777" w:rsidR="002B431B" w:rsidRPr="002B431B" w:rsidRDefault="002B431B" w:rsidP="002B431B">
      <w:pPr>
        <w:spacing w:before="240" w:after="120" w:line="220" w:lineRule="exact"/>
        <w:rPr>
          <w:b/>
          <w:i/>
          <w:sz w:val="18"/>
        </w:rPr>
      </w:pPr>
      <w:r w:rsidRPr="002B431B">
        <w:rPr>
          <w:b/>
          <w:i/>
          <w:sz w:val="18"/>
        </w:rPr>
        <w:t>METODO DI VALUTAZIONE</w:t>
      </w:r>
    </w:p>
    <w:p w14:paraId="682DF3CA" w14:textId="77777777" w:rsidR="002B431B" w:rsidRDefault="005D3673" w:rsidP="002B431B">
      <w:pPr>
        <w:tabs>
          <w:tab w:val="clear" w:pos="284"/>
        </w:tabs>
        <w:spacing w:line="220" w:lineRule="exact"/>
        <w:rPr>
          <w:noProof/>
          <w:sz w:val="18"/>
        </w:rPr>
      </w:pPr>
      <w:r>
        <w:rPr>
          <w:noProof/>
          <w:sz w:val="18"/>
        </w:rPr>
        <w:t>La valutazione è distinta tra studenti frequentanti che sostengono due prove intermedie e studenti non frequentanti che sostengono l’esame in un’unica soluzione.</w:t>
      </w:r>
    </w:p>
    <w:p w14:paraId="45EE8099" w14:textId="77777777" w:rsidR="005D3673" w:rsidRDefault="005D3673" w:rsidP="002B431B">
      <w:pPr>
        <w:tabs>
          <w:tab w:val="clear" w:pos="284"/>
        </w:tabs>
        <w:spacing w:line="220" w:lineRule="exact"/>
        <w:rPr>
          <w:noProof/>
          <w:sz w:val="18"/>
        </w:rPr>
      </w:pPr>
      <w:r>
        <w:rPr>
          <w:noProof/>
          <w:sz w:val="18"/>
        </w:rPr>
        <w:t xml:space="preserve">Il primo gruppo di studenti dovrà rispondere a due domande in ognuna delle prove intermedie (da scegliersi tra due alternative per ogni domanda). Per la prima prova </w:t>
      </w:r>
      <w:r>
        <w:rPr>
          <w:noProof/>
          <w:sz w:val="18"/>
        </w:rPr>
        <w:lastRenderedPageBreak/>
        <w:t xml:space="preserve">intermedia saranno proposte domande sulle parti prima e seconda del corso (due per ogni parte da cui scegliere due domande) e per la seconda parte saranno proposte domande sulla terza parte del corso (due sulle politiche a sostegno dell’innovazione e due sulla distribuzione spaziale delle attività economiche). </w:t>
      </w:r>
      <w:r w:rsidR="00F7769D">
        <w:rPr>
          <w:noProof/>
          <w:sz w:val="18"/>
        </w:rPr>
        <w:t>Il tempo per ogni prova intermedia è di 90’.</w:t>
      </w:r>
    </w:p>
    <w:p w14:paraId="69C83CDB" w14:textId="77777777" w:rsidR="005D3673" w:rsidRDefault="005D3673" w:rsidP="002B431B">
      <w:pPr>
        <w:tabs>
          <w:tab w:val="clear" w:pos="284"/>
        </w:tabs>
        <w:spacing w:line="220" w:lineRule="exact"/>
        <w:rPr>
          <w:noProof/>
          <w:sz w:val="18"/>
        </w:rPr>
      </w:pPr>
      <w:r>
        <w:rPr>
          <w:noProof/>
          <w:sz w:val="18"/>
        </w:rPr>
        <w:t>Gli studenti frequentanti dovranno svolgere alcuni assessments nel corso dell’anno focalizzati su: politiche di coesione in una delle regioni europee, posizionamento competitivo di una regione europea, analisi di un cluster produttivo in una regione europea. La parte monografica sarà frutto di un lavoro di condivisione e analisi in aula che prevederà anche una valutazione ulteriore.</w:t>
      </w:r>
      <w:r w:rsidR="00F7769D">
        <w:rPr>
          <w:noProof/>
          <w:sz w:val="18"/>
        </w:rPr>
        <w:t xml:space="preserve"> Questi lavori consentono di acquisire punteggi integrativi rispetto ai voti nelle singole parti del corso.</w:t>
      </w:r>
    </w:p>
    <w:p w14:paraId="41D37E24" w14:textId="77777777" w:rsidR="00F7769D" w:rsidRDefault="00F7769D" w:rsidP="002B431B">
      <w:pPr>
        <w:tabs>
          <w:tab w:val="clear" w:pos="284"/>
        </w:tabs>
        <w:spacing w:line="220" w:lineRule="exact"/>
        <w:rPr>
          <w:noProof/>
          <w:sz w:val="18"/>
        </w:rPr>
      </w:pPr>
    </w:p>
    <w:p w14:paraId="699B0A16" w14:textId="77777777" w:rsidR="00F7769D" w:rsidRPr="002B431B" w:rsidRDefault="00F7769D" w:rsidP="002B431B">
      <w:pPr>
        <w:tabs>
          <w:tab w:val="clear" w:pos="284"/>
        </w:tabs>
        <w:spacing w:line="220" w:lineRule="exact"/>
        <w:rPr>
          <w:noProof/>
          <w:sz w:val="18"/>
        </w:rPr>
      </w:pPr>
      <w:r>
        <w:rPr>
          <w:noProof/>
          <w:sz w:val="18"/>
        </w:rPr>
        <w:t>Gli studenti non frequentanti dovranno rispondere a cinque domande su sei alternative proposte nel corso dell’esame finale (tempo concesso 2h30’).</w:t>
      </w:r>
    </w:p>
    <w:p w14:paraId="7BDED41E" w14:textId="77777777" w:rsidR="00177EFB" w:rsidRDefault="00177EFB" w:rsidP="00302588">
      <w:pPr>
        <w:pStyle w:val="Testo2"/>
      </w:pPr>
    </w:p>
    <w:p w14:paraId="2E7C72D8" w14:textId="77777777" w:rsidR="009B0237" w:rsidRDefault="009B0237" w:rsidP="009B0237">
      <w:pPr>
        <w:pStyle w:val="Testo2"/>
        <w:ind w:firstLine="0"/>
        <w:rPr>
          <w:b/>
          <w:i/>
        </w:rPr>
      </w:pPr>
      <w:r>
        <w:rPr>
          <w:b/>
          <w:i/>
        </w:rPr>
        <w:t>ORARIO E LUOGO DI RICEVIMENTO DEGLI STUDENTI</w:t>
      </w:r>
    </w:p>
    <w:p w14:paraId="774E8A54" w14:textId="77777777" w:rsidR="009B0237" w:rsidRDefault="009B0237" w:rsidP="009B0237">
      <w:pPr>
        <w:pStyle w:val="Testo2"/>
        <w:ind w:firstLine="0"/>
      </w:pPr>
    </w:p>
    <w:p w14:paraId="1B1DABC2" w14:textId="77777777" w:rsidR="009B0237" w:rsidRDefault="009B0237" w:rsidP="009B0237">
      <w:r>
        <w:t xml:space="preserve">Gli orari di ricevimento sono disponibili on line nella pagina personale del docente, consultabile al sito </w:t>
      </w:r>
      <w:hyperlink r:id="rId6" w:history="1">
        <w:r>
          <w:rPr>
            <w:rStyle w:val="Collegamentoipertestuale"/>
          </w:rPr>
          <w:t>http://docenti.unicatt.it/</w:t>
        </w:r>
      </w:hyperlink>
      <w:r w:rsidR="00F7769D">
        <w:rPr>
          <w:rStyle w:val="Collegamentoipertestuale"/>
        </w:rPr>
        <w:t>.</w:t>
      </w:r>
    </w:p>
    <w:p w14:paraId="5C52F30A" w14:textId="77777777" w:rsidR="00BB71D4" w:rsidRDefault="00BB71D4" w:rsidP="003F32D8">
      <w:pPr>
        <w:pStyle w:val="Testo2"/>
      </w:pPr>
    </w:p>
    <w:p w14:paraId="75429DFF" w14:textId="77777777" w:rsidR="009B0237" w:rsidRPr="003F32D8" w:rsidRDefault="009B0237" w:rsidP="003F32D8">
      <w:pPr>
        <w:pStyle w:val="Testo2"/>
      </w:pPr>
    </w:p>
    <w:sectPr w:rsidR="009B0237" w:rsidRPr="003F32D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3"/>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A3"/>
    <w:rsid w:val="00020A9D"/>
    <w:rsid w:val="000373ED"/>
    <w:rsid w:val="00050000"/>
    <w:rsid w:val="000717E5"/>
    <w:rsid w:val="000B1BD8"/>
    <w:rsid w:val="000C1462"/>
    <w:rsid w:val="00114E56"/>
    <w:rsid w:val="001506B4"/>
    <w:rsid w:val="00177EFB"/>
    <w:rsid w:val="001814C2"/>
    <w:rsid w:val="00243549"/>
    <w:rsid w:val="002457E9"/>
    <w:rsid w:val="00285585"/>
    <w:rsid w:val="002B431B"/>
    <w:rsid w:val="00302588"/>
    <w:rsid w:val="00354221"/>
    <w:rsid w:val="003F32D8"/>
    <w:rsid w:val="00424EA4"/>
    <w:rsid w:val="00495A17"/>
    <w:rsid w:val="004F60F2"/>
    <w:rsid w:val="005A5A37"/>
    <w:rsid w:val="005D3673"/>
    <w:rsid w:val="006D200F"/>
    <w:rsid w:val="006E0BFA"/>
    <w:rsid w:val="006F1FDF"/>
    <w:rsid w:val="0075730E"/>
    <w:rsid w:val="00796244"/>
    <w:rsid w:val="008009E4"/>
    <w:rsid w:val="00802B48"/>
    <w:rsid w:val="008142F0"/>
    <w:rsid w:val="00881F02"/>
    <w:rsid w:val="008906EA"/>
    <w:rsid w:val="008B4DD1"/>
    <w:rsid w:val="008E2727"/>
    <w:rsid w:val="00901E3D"/>
    <w:rsid w:val="009044D3"/>
    <w:rsid w:val="00941740"/>
    <w:rsid w:val="009B0237"/>
    <w:rsid w:val="00A346A3"/>
    <w:rsid w:val="00A6379F"/>
    <w:rsid w:val="00B30572"/>
    <w:rsid w:val="00B83EE6"/>
    <w:rsid w:val="00BB71D4"/>
    <w:rsid w:val="00CB2ED5"/>
    <w:rsid w:val="00E25243"/>
    <w:rsid w:val="00E34769"/>
    <w:rsid w:val="00E51D6C"/>
    <w:rsid w:val="00E728BC"/>
    <w:rsid w:val="00ED1D75"/>
    <w:rsid w:val="00F7769D"/>
    <w:rsid w:val="00F8630D"/>
    <w:rsid w:val="00F87146"/>
    <w:rsid w:val="00F94EDC"/>
    <w:rsid w:val="00FC72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3</Pages>
  <Words>789</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 </cp:lastModifiedBy>
  <cp:revision>2</cp:revision>
  <cp:lastPrinted>2010-05-10T14:05:00Z</cp:lastPrinted>
  <dcterms:created xsi:type="dcterms:W3CDTF">2016-04-11T06:56:00Z</dcterms:created>
  <dcterms:modified xsi:type="dcterms:W3CDTF">2016-04-11T06:56:00Z</dcterms:modified>
</cp:coreProperties>
</file>