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84CC4" w14:textId="77777777" w:rsidR="003525CC" w:rsidRDefault="003525CC" w:rsidP="003525CC">
      <w:pPr>
        <w:rPr>
          <w:b/>
        </w:rPr>
      </w:pPr>
    </w:p>
    <w:p w14:paraId="72B5F0B0" w14:textId="77777777" w:rsidR="003525CC" w:rsidRPr="009D3227" w:rsidRDefault="003525CC" w:rsidP="003525CC">
      <w:pPr>
        <w:pStyle w:val="Titolo1"/>
      </w:pPr>
      <w:r w:rsidRPr="009D3227">
        <w:t>Corporate Banking e Gestione dei Rischi</w:t>
      </w:r>
    </w:p>
    <w:p w14:paraId="48DF88F2" w14:textId="73DD0A3A" w:rsidR="003525CC" w:rsidRPr="009D3227" w:rsidRDefault="00BA5FD2" w:rsidP="003525CC">
      <w:pPr>
        <w:pStyle w:val="Titolo2"/>
        <w:spacing w:line="480" w:lineRule="auto"/>
      </w:pPr>
      <w:r>
        <w:t>Proff. Andrea Lippi</w:t>
      </w:r>
      <w:r w:rsidR="003525CC">
        <w:t>-Francesca Pampurini</w:t>
      </w:r>
    </w:p>
    <w:p w14:paraId="4295933E" w14:textId="77777777" w:rsidR="007951F5" w:rsidRDefault="007951F5" w:rsidP="003525CC">
      <w:pPr>
        <w:rPr>
          <w:b/>
        </w:rPr>
      </w:pPr>
    </w:p>
    <w:p w14:paraId="7F3E7781" w14:textId="77777777" w:rsidR="007951F5" w:rsidRPr="007951F5" w:rsidRDefault="007951F5" w:rsidP="007951F5">
      <w:pPr>
        <w:rPr>
          <w:b/>
        </w:rPr>
      </w:pPr>
      <w:r w:rsidRPr="007951F5">
        <w:rPr>
          <w:b/>
        </w:rPr>
        <w:t>Modulo I – Corporate Banking</w:t>
      </w:r>
    </w:p>
    <w:p w14:paraId="1A7B82BB" w14:textId="7EA7DD6F" w:rsidR="007951F5" w:rsidRPr="007951F5" w:rsidRDefault="007951F5" w:rsidP="007951F5">
      <w:pPr>
        <w:tabs>
          <w:tab w:val="clear" w:pos="284"/>
        </w:tabs>
        <w:jc w:val="left"/>
        <w:outlineLvl w:val="1"/>
        <w:rPr>
          <w:smallCaps/>
          <w:noProof/>
          <w:sz w:val="18"/>
        </w:rPr>
      </w:pPr>
      <w:r w:rsidRPr="007951F5">
        <w:rPr>
          <w:smallCaps/>
          <w:noProof/>
          <w:sz w:val="18"/>
        </w:rPr>
        <w:t xml:space="preserve">Prof. </w:t>
      </w:r>
      <w:r w:rsidR="00BA5FD2">
        <w:rPr>
          <w:smallCaps/>
          <w:noProof/>
          <w:sz w:val="18"/>
        </w:rPr>
        <w:t>Andrea Lippi</w:t>
      </w:r>
    </w:p>
    <w:p w14:paraId="0F5304F2" w14:textId="77777777" w:rsidR="007951F5" w:rsidRPr="007951F5" w:rsidRDefault="007951F5" w:rsidP="007951F5">
      <w:pPr>
        <w:spacing w:before="240" w:after="120"/>
        <w:rPr>
          <w:b/>
          <w:sz w:val="18"/>
        </w:rPr>
      </w:pPr>
      <w:r w:rsidRPr="007951F5">
        <w:rPr>
          <w:b/>
          <w:i/>
          <w:sz w:val="18"/>
        </w:rPr>
        <w:t>OBIETTIVO DEL CORSO</w:t>
      </w:r>
      <w:bookmarkStart w:id="0" w:name="_GoBack"/>
      <w:bookmarkEnd w:id="0"/>
    </w:p>
    <w:p w14:paraId="7EF1768D" w14:textId="77777777" w:rsidR="007951F5" w:rsidRPr="007951F5" w:rsidRDefault="007951F5" w:rsidP="007951F5">
      <w:pPr>
        <w:ind w:right="27"/>
      </w:pPr>
      <w:r w:rsidRPr="007951F5">
        <w:t xml:space="preserve">Il corso si propone di fare acquisire allo studente conoscenze in materia di organizzazione e gestione dei  servizi di corporate e </w:t>
      </w:r>
      <w:proofErr w:type="spellStart"/>
      <w:r w:rsidRPr="007951F5">
        <w:t>investment</w:t>
      </w:r>
      <w:proofErr w:type="spellEnd"/>
      <w:r w:rsidRPr="007951F5">
        <w:t xml:space="preserve"> banking offerti dagli intermediari finanziari  in un contesto internazionale.</w:t>
      </w:r>
    </w:p>
    <w:p w14:paraId="105DF9BC" w14:textId="77777777" w:rsidR="007951F5" w:rsidRPr="007951F5" w:rsidRDefault="007951F5" w:rsidP="007951F5">
      <w:pPr>
        <w:ind w:right="27"/>
      </w:pPr>
    </w:p>
    <w:p w14:paraId="0042542D" w14:textId="77777777" w:rsidR="007951F5" w:rsidRPr="007951F5" w:rsidRDefault="007951F5" w:rsidP="007951F5">
      <w:pPr>
        <w:ind w:right="2977"/>
        <w:rPr>
          <w:b/>
          <w:i/>
          <w:sz w:val="14"/>
          <w:szCs w:val="14"/>
        </w:rPr>
      </w:pPr>
      <w:r w:rsidRPr="007951F5">
        <w:rPr>
          <w:b/>
          <w:i/>
          <w:sz w:val="14"/>
          <w:szCs w:val="14"/>
        </w:rPr>
        <w:t>RISULTATI DI APPRENDIMENTO</w:t>
      </w:r>
    </w:p>
    <w:p w14:paraId="0BA402A4" w14:textId="77777777" w:rsidR="007951F5" w:rsidRPr="007951F5" w:rsidRDefault="007951F5" w:rsidP="007951F5">
      <w:pPr>
        <w:numPr>
          <w:ilvl w:val="0"/>
          <w:numId w:val="9"/>
        </w:numPr>
        <w:tabs>
          <w:tab w:val="clear" w:pos="284"/>
          <w:tab w:val="left" w:pos="142"/>
        </w:tabs>
        <w:ind w:left="142" w:right="27" w:hanging="142"/>
      </w:pPr>
      <w:r w:rsidRPr="007951F5">
        <w:t>Essere in grado di svolgere ruoli  di crescente responsabilità nel settore corporate all’interno degli intermediari finanziari o all’interno della funzione finanziaria delle imprese non finanziarie.</w:t>
      </w:r>
    </w:p>
    <w:p w14:paraId="2E05FB36" w14:textId="77777777" w:rsidR="007951F5" w:rsidRPr="007951F5" w:rsidRDefault="007951F5" w:rsidP="007951F5">
      <w:pPr>
        <w:numPr>
          <w:ilvl w:val="0"/>
          <w:numId w:val="9"/>
        </w:numPr>
        <w:tabs>
          <w:tab w:val="clear" w:pos="284"/>
          <w:tab w:val="left" w:pos="142"/>
          <w:tab w:val="left" w:pos="6663"/>
        </w:tabs>
        <w:ind w:left="142" w:right="27" w:hanging="142"/>
      </w:pPr>
      <w:r w:rsidRPr="007951F5">
        <w:t xml:space="preserve">Comprendere e interpretare l’evoluzione strutturale, regolamentare e  operativa  e la performance degli intermediari finanziari che operano nel Corporate &amp; </w:t>
      </w:r>
      <w:proofErr w:type="spellStart"/>
      <w:r w:rsidRPr="007951F5">
        <w:t>Investment</w:t>
      </w:r>
      <w:proofErr w:type="spellEnd"/>
      <w:r w:rsidRPr="007951F5">
        <w:t xml:space="preserve"> Banking. </w:t>
      </w:r>
    </w:p>
    <w:p w14:paraId="36832039" w14:textId="77777777" w:rsidR="007951F5" w:rsidRPr="007951F5" w:rsidRDefault="007951F5" w:rsidP="007951F5">
      <w:pPr>
        <w:spacing w:before="240" w:after="120"/>
        <w:ind w:right="27"/>
        <w:rPr>
          <w:b/>
          <w:sz w:val="18"/>
        </w:rPr>
      </w:pPr>
      <w:r w:rsidRPr="007951F5">
        <w:rPr>
          <w:b/>
          <w:i/>
          <w:sz w:val="18"/>
        </w:rPr>
        <w:t>PROGRAMMA DEL CORSO</w:t>
      </w:r>
    </w:p>
    <w:p w14:paraId="5F77FE96" w14:textId="77777777" w:rsidR="007951F5" w:rsidRPr="007951F5" w:rsidRDefault="007951F5" w:rsidP="007951F5">
      <w:pPr>
        <w:ind w:right="27"/>
        <w:rPr>
          <w:sz w:val="16"/>
          <w:szCs w:val="16"/>
        </w:rPr>
      </w:pPr>
      <w:r w:rsidRPr="007951F5">
        <w:rPr>
          <w:sz w:val="16"/>
          <w:szCs w:val="16"/>
        </w:rPr>
        <w:t xml:space="preserve">LA STRUTTURA DEL SETTORE </w:t>
      </w:r>
    </w:p>
    <w:p w14:paraId="196EBAC7" w14:textId="77777777" w:rsidR="007951F5" w:rsidRPr="007951F5" w:rsidRDefault="007951F5" w:rsidP="007951F5">
      <w:pPr>
        <w:numPr>
          <w:ilvl w:val="0"/>
          <w:numId w:val="7"/>
        </w:numPr>
        <w:tabs>
          <w:tab w:val="clear" w:pos="284"/>
          <w:tab w:val="left" w:pos="142"/>
        </w:tabs>
        <w:ind w:left="284" w:right="27" w:hanging="284"/>
        <w:rPr>
          <w:bCs/>
        </w:rPr>
      </w:pPr>
      <w:r w:rsidRPr="007951F5">
        <w:rPr>
          <w:bCs/>
        </w:rPr>
        <w:t>L’</w:t>
      </w:r>
      <w:proofErr w:type="spellStart"/>
      <w:r w:rsidRPr="007951F5">
        <w:rPr>
          <w:bCs/>
        </w:rPr>
        <w:t>investment</w:t>
      </w:r>
      <w:proofErr w:type="spellEnd"/>
      <w:r w:rsidRPr="007951F5">
        <w:rPr>
          <w:bCs/>
        </w:rPr>
        <w:t xml:space="preserve"> banking: origini e sviluppo.</w:t>
      </w:r>
    </w:p>
    <w:p w14:paraId="4800288D" w14:textId="77777777" w:rsidR="007951F5" w:rsidRPr="007951F5" w:rsidRDefault="007951F5" w:rsidP="007951F5">
      <w:pPr>
        <w:numPr>
          <w:ilvl w:val="0"/>
          <w:numId w:val="7"/>
        </w:numPr>
        <w:tabs>
          <w:tab w:val="clear" w:pos="284"/>
          <w:tab w:val="left" w:pos="142"/>
          <w:tab w:val="left" w:pos="426"/>
        </w:tabs>
        <w:ind w:left="142" w:right="27" w:hanging="142"/>
        <w:rPr>
          <w:bCs/>
        </w:rPr>
      </w:pPr>
      <w:r w:rsidRPr="007951F5">
        <w:rPr>
          <w:bCs/>
        </w:rPr>
        <w:t xml:space="preserve">Aspetti strutturali ed organizzativi nell’offerta di servizi di corporate  e </w:t>
      </w:r>
      <w:proofErr w:type="spellStart"/>
      <w:r w:rsidRPr="007951F5">
        <w:rPr>
          <w:bCs/>
        </w:rPr>
        <w:t>investment</w:t>
      </w:r>
      <w:proofErr w:type="spellEnd"/>
      <w:r w:rsidRPr="007951F5">
        <w:rPr>
          <w:bCs/>
        </w:rPr>
        <w:t xml:space="preserve"> banking  nel contesto internazionale.</w:t>
      </w:r>
    </w:p>
    <w:p w14:paraId="49209545" w14:textId="77777777" w:rsidR="007951F5" w:rsidRPr="007951F5" w:rsidRDefault="007951F5" w:rsidP="007951F5">
      <w:pPr>
        <w:numPr>
          <w:ilvl w:val="0"/>
          <w:numId w:val="7"/>
        </w:numPr>
        <w:tabs>
          <w:tab w:val="clear" w:pos="284"/>
          <w:tab w:val="left" w:pos="142"/>
        </w:tabs>
        <w:ind w:left="142" w:right="27" w:hanging="142"/>
      </w:pPr>
      <w:r w:rsidRPr="007951F5">
        <w:t xml:space="preserve">La crisi finanziaria internazionale e il suo impatto sulla regolamentazione e sull’assetto e l’operatività del settore del Corporate e </w:t>
      </w:r>
      <w:proofErr w:type="spellStart"/>
      <w:r w:rsidRPr="007951F5">
        <w:t>Investment</w:t>
      </w:r>
      <w:proofErr w:type="spellEnd"/>
      <w:r w:rsidRPr="007951F5">
        <w:t xml:space="preserve"> banking.</w:t>
      </w:r>
    </w:p>
    <w:p w14:paraId="020B4F10" w14:textId="77777777" w:rsidR="007951F5" w:rsidRPr="007951F5" w:rsidRDefault="007951F5" w:rsidP="007951F5">
      <w:pPr>
        <w:numPr>
          <w:ilvl w:val="0"/>
          <w:numId w:val="7"/>
        </w:numPr>
        <w:tabs>
          <w:tab w:val="clear" w:pos="284"/>
          <w:tab w:val="left" w:pos="-1985"/>
          <w:tab w:val="num" w:pos="142"/>
        </w:tabs>
        <w:ind w:left="142" w:right="27" w:hanging="142"/>
      </w:pPr>
      <w:r w:rsidRPr="007951F5">
        <w:t xml:space="preserve">La struttura dell’offerta nel  mercato italiano dei servizi di corporate e </w:t>
      </w:r>
      <w:proofErr w:type="spellStart"/>
      <w:r w:rsidRPr="007951F5">
        <w:t>investment</w:t>
      </w:r>
      <w:proofErr w:type="spellEnd"/>
      <w:r w:rsidRPr="007951F5">
        <w:t xml:space="preserve"> banking.</w:t>
      </w:r>
    </w:p>
    <w:p w14:paraId="06E4C7DF" w14:textId="77777777" w:rsidR="007951F5" w:rsidRPr="007951F5" w:rsidRDefault="007951F5" w:rsidP="007951F5">
      <w:pPr>
        <w:ind w:right="27"/>
        <w:rPr>
          <w:sz w:val="16"/>
          <w:szCs w:val="16"/>
        </w:rPr>
      </w:pPr>
      <w:r w:rsidRPr="007951F5">
        <w:rPr>
          <w:sz w:val="16"/>
          <w:szCs w:val="16"/>
        </w:rPr>
        <w:t>I SERVIZI DI CORPORATE  BANKING</w:t>
      </w:r>
    </w:p>
    <w:p w14:paraId="11D46C31" w14:textId="77777777" w:rsidR="007951F5" w:rsidRPr="007951F5" w:rsidRDefault="007951F5" w:rsidP="007951F5">
      <w:pPr>
        <w:numPr>
          <w:ilvl w:val="0"/>
          <w:numId w:val="8"/>
        </w:numPr>
        <w:tabs>
          <w:tab w:val="clear" w:pos="284"/>
          <w:tab w:val="left" w:pos="142"/>
        </w:tabs>
        <w:ind w:left="284" w:right="27" w:hanging="284"/>
      </w:pPr>
      <w:r w:rsidRPr="007951F5">
        <w:t xml:space="preserve">L’attività di private </w:t>
      </w:r>
      <w:proofErr w:type="spellStart"/>
      <w:r w:rsidRPr="007951F5">
        <w:t>equity</w:t>
      </w:r>
      <w:proofErr w:type="spellEnd"/>
      <w:r w:rsidRPr="007951F5">
        <w:t xml:space="preserve"> e di venture capital.</w:t>
      </w:r>
    </w:p>
    <w:p w14:paraId="1D47446C" w14:textId="77777777" w:rsidR="007951F5" w:rsidRPr="007951F5" w:rsidRDefault="007951F5" w:rsidP="007951F5">
      <w:pPr>
        <w:numPr>
          <w:ilvl w:val="0"/>
          <w:numId w:val="8"/>
        </w:numPr>
        <w:tabs>
          <w:tab w:val="clear" w:pos="284"/>
          <w:tab w:val="left" w:pos="142"/>
        </w:tabs>
        <w:ind w:left="284" w:right="27" w:hanging="284"/>
      </w:pPr>
      <w:r w:rsidRPr="007951F5">
        <w:t>Gli intermediari finanziari e la quotazione delle imprese.</w:t>
      </w:r>
    </w:p>
    <w:p w14:paraId="5218A967" w14:textId="77777777" w:rsidR="007951F5" w:rsidRPr="007951F5" w:rsidRDefault="007951F5" w:rsidP="007951F5">
      <w:pPr>
        <w:numPr>
          <w:ilvl w:val="0"/>
          <w:numId w:val="8"/>
        </w:numPr>
        <w:tabs>
          <w:tab w:val="clear" w:pos="284"/>
          <w:tab w:val="left" w:pos="142"/>
        </w:tabs>
        <w:ind w:left="284" w:right="27" w:hanging="284"/>
      </w:pPr>
      <w:r w:rsidRPr="007951F5">
        <w:t>Le operazioni sul mercato del debito: corporate bonds e prestiti sindacati.</w:t>
      </w:r>
    </w:p>
    <w:p w14:paraId="1727C586" w14:textId="77777777" w:rsidR="007951F5" w:rsidRPr="007951F5" w:rsidRDefault="007951F5" w:rsidP="007951F5">
      <w:pPr>
        <w:numPr>
          <w:ilvl w:val="0"/>
          <w:numId w:val="8"/>
        </w:numPr>
        <w:tabs>
          <w:tab w:val="clear" w:pos="284"/>
          <w:tab w:val="left" w:pos="142"/>
        </w:tabs>
        <w:ind w:left="284" w:right="27" w:hanging="284"/>
      </w:pPr>
      <w:r w:rsidRPr="007951F5">
        <w:t xml:space="preserve">Le operazioni di finanza strutturata : il </w:t>
      </w:r>
      <w:proofErr w:type="spellStart"/>
      <w:r w:rsidRPr="007951F5">
        <w:t>project</w:t>
      </w:r>
      <w:proofErr w:type="spellEnd"/>
      <w:r w:rsidRPr="007951F5">
        <w:t xml:space="preserve"> </w:t>
      </w:r>
      <w:proofErr w:type="spellStart"/>
      <w:r w:rsidRPr="007951F5">
        <w:t>finance</w:t>
      </w:r>
      <w:proofErr w:type="spellEnd"/>
      <w:r w:rsidRPr="007951F5">
        <w:t xml:space="preserve"> e la </w:t>
      </w:r>
      <w:proofErr w:type="spellStart"/>
      <w:r w:rsidRPr="007951F5">
        <w:t>securitisation</w:t>
      </w:r>
      <w:proofErr w:type="spellEnd"/>
      <w:r w:rsidRPr="007951F5">
        <w:t>.</w:t>
      </w:r>
    </w:p>
    <w:p w14:paraId="6BD17374" w14:textId="77777777" w:rsidR="007951F5" w:rsidRPr="007951F5" w:rsidRDefault="007951F5" w:rsidP="007951F5">
      <w:pPr>
        <w:numPr>
          <w:ilvl w:val="0"/>
          <w:numId w:val="8"/>
        </w:numPr>
        <w:tabs>
          <w:tab w:val="clear" w:pos="284"/>
          <w:tab w:val="left" w:pos="142"/>
        </w:tabs>
        <w:ind w:left="142" w:right="27" w:hanging="142"/>
      </w:pPr>
      <w:r w:rsidRPr="007951F5">
        <w:t xml:space="preserve">I servizi di </w:t>
      </w:r>
      <w:proofErr w:type="spellStart"/>
      <w:r w:rsidRPr="007951F5">
        <w:t>advisory</w:t>
      </w:r>
      <w:proofErr w:type="spellEnd"/>
      <w:r w:rsidRPr="007951F5">
        <w:t xml:space="preserve"> : le operazioni di M&amp;A e di ristrutturazione delle imprese in crisi.</w:t>
      </w:r>
    </w:p>
    <w:p w14:paraId="5D4717CF" w14:textId="77777777" w:rsidR="007951F5" w:rsidRPr="007951F5" w:rsidRDefault="007951F5" w:rsidP="007951F5">
      <w:pPr>
        <w:keepNext/>
        <w:spacing w:before="240" w:after="120"/>
        <w:ind w:right="27"/>
        <w:rPr>
          <w:b/>
          <w:sz w:val="18"/>
        </w:rPr>
      </w:pPr>
      <w:r w:rsidRPr="007951F5">
        <w:rPr>
          <w:b/>
          <w:i/>
          <w:sz w:val="18"/>
        </w:rPr>
        <w:lastRenderedPageBreak/>
        <w:t>BIBLIOGRAFIA</w:t>
      </w:r>
    </w:p>
    <w:p w14:paraId="0B6944FB" w14:textId="77777777" w:rsidR="00264ACF" w:rsidRDefault="007951F5" w:rsidP="007951F5">
      <w:pPr>
        <w:tabs>
          <w:tab w:val="clear" w:pos="284"/>
        </w:tabs>
        <w:spacing w:line="220" w:lineRule="exact"/>
        <w:ind w:left="284" w:right="27" w:hanging="284"/>
        <w:rPr>
          <w:noProof/>
          <w:sz w:val="18"/>
        </w:rPr>
      </w:pPr>
      <w:r w:rsidRPr="007951F5">
        <w:rPr>
          <w:smallCaps/>
          <w:noProof/>
          <w:sz w:val="16"/>
          <w:szCs w:val="16"/>
        </w:rPr>
        <w:t>G. FORESTIERI,</w:t>
      </w:r>
      <w:r w:rsidRPr="007951F5">
        <w:rPr>
          <w:noProof/>
          <w:sz w:val="18"/>
        </w:rPr>
        <w:t xml:space="preserve"> </w:t>
      </w:r>
      <w:r w:rsidRPr="007951F5">
        <w:rPr>
          <w:i/>
          <w:noProof/>
          <w:sz w:val="18"/>
        </w:rPr>
        <w:t>Corporate e investment banking</w:t>
      </w:r>
      <w:r w:rsidRPr="007951F5">
        <w:rPr>
          <w:noProof/>
          <w:sz w:val="18"/>
        </w:rPr>
        <w:t>, Egea 2015</w:t>
      </w:r>
    </w:p>
    <w:p w14:paraId="6088106C" w14:textId="77777777" w:rsidR="007951F5" w:rsidRPr="007951F5" w:rsidRDefault="00264ACF" w:rsidP="007951F5">
      <w:pPr>
        <w:tabs>
          <w:tab w:val="clear" w:pos="284"/>
        </w:tabs>
        <w:spacing w:line="220" w:lineRule="exact"/>
        <w:ind w:left="284" w:right="27" w:hanging="284"/>
        <w:rPr>
          <w:noProof/>
          <w:sz w:val="18"/>
        </w:rPr>
      </w:pPr>
      <w:r>
        <w:rPr>
          <w:noProof/>
          <w:sz w:val="18"/>
        </w:rPr>
        <w:t>Materiale distribuito via Blackboard</w:t>
      </w:r>
      <w:r w:rsidR="007951F5" w:rsidRPr="007951F5">
        <w:rPr>
          <w:noProof/>
          <w:sz w:val="18"/>
        </w:rPr>
        <w:t xml:space="preserve"> </w:t>
      </w:r>
    </w:p>
    <w:p w14:paraId="5EEAE4C3" w14:textId="77777777" w:rsidR="007951F5" w:rsidRPr="007951F5" w:rsidRDefault="007951F5" w:rsidP="007951F5">
      <w:pPr>
        <w:tabs>
          <w:tab w:val="clear" w:pos="284"/>
        </w:tabs>
        <w:spacing w:after="120" w:line="220" w:lineRule="exact"/>
        <w:ind w:left="284" w:right="28" w:hanging="284"/>
        <w:rPr>
          <w:b/>
          <w:i/>
          <w:noProof/>
          <w:sz w:val="18"/>
        </w:rPr>
      </w:pPr>
    </w:p>
    <w:p w14:paraId="7456EB65" w14:textId="77777777" w:rsidR="007951F5" w:rsidRPr="007951F5" w:rsidRDefault="007951F5" w:rsidP="007951F5">
      <w:pPr>
        <w:tabs>
          <w:tab w:val="clear" w:pos="284"/>
        </w:tabs>
        <w:spacing w:after="120" w:line="220" w:lineRule="exact"/>
        <w:ind w:left="284" w:right="28" w:hanging="284"/>
        <w:rPr>
          <w:b/>
          <w:i/>
          <w:noProof/>
          <w:sz w:val="18"/>
        </w:rPr>
      </w:pPr>
      <w:r w:rsidRPr="007951F5">
        <w:rPr>
          <w:b/>
          <w:i/>
          <w:noProof/>
          <w:sz w:val="18"/>
        </w:rPr>
        <w:t>DIDATTICA DEL CORSO</w:t>
      </w:r>
    </w:p>
    <w:p w14:paraId="45918ABC" w14:textId="77777777" w:rsidR="007951F5" w:rsidRPr="007951F5" w:rsidRDefault="007951F5" w:rsidP="007951F5">
      <w:pPr>
        <w:tabs>
          <w:tab w:val="clear" w:pos="284"/>
        </w:tabs>
        <w:spacing w:line="220" w:lineRule="exact"/>
        <w:ind w:right="27"/>
        <w:rPr>
          <w:noProof/>
          <w:sz w:val="18"/>
          <w:szCs w:val="22"/>
        </w:rPr>
      </w:pPr>
      <w:r w:rsidRPr="007951F5">
        <w:rPr>
          <w:noProof/>
          <w:sz w:val="18"/>
          <w:szCs w:val="22"/>
        </w:rPr>
        <w:t>Il corso prevede:</w:t>
      </w:r>
    </w:p>
    <w:p w14:paraId="7B8430AD" w14:textId="77777777" w:rsidR="007951F5" w:rsidRPr="007951F5" w:rsidRDefault="00264ACF" w:rsidP="007951F5">
      <w:pPr>
        <w:numPr>
          <w:ilvl w:val="0"/>
          <w:numId w:val="10"/>
        </w:numPr>
        <w:tabs>
          <w:tab w:val="clear" w:pos="284"/>
          <w:tab w:val="num" w:pos="240"/>
        </w:tabs>
        <w:spacing w:line="220" w:lineRule="exact"/>
        <w:ind w:hanging="720"/>
        <w:rPr>
          <w:noProof/>
          <w:sz w:val="18"/>
          <w:szCs w:val="22"/>
        </w:rPr>
      </w:pPr>
      <w:r>
        <w:rPr>
          <w:noProof/>
          <w:sz w:val="18"/>
        </w:rPr>
        <w:t>Lezioni e testimonianze manageriali</w:t>
      </w:r>
    </w:p>
    <w:p w14:paraId="194C49A5" w14:textId="77777777" w:rsidR="007951F5" w:rsidRPr="007951F5" w:rsidRDefault="007951F5" w:rsidP="007951F5">
      <w:pPr>
        <w:numPr>
          <w:ilvl w:val="0"/>
          <w:numId w:val="10"/>
        </w:numPr>
        <w:tabs>
          <w:tab w:val="clear" w:pos="284"/>
          <w:tab w:val="num" w:pos="240"/>
        </w:tabs>
        <w:spacing w:line="220" w:lineRule="exact"/>
        <w:ind w:hanging="720"/>
        <w:rPr>
          <w:noProof/>
          <w:sz w:val="18"/>
          <w:szCs w:val="22"/>
        </w:rPr>
      </w:pPr>
      <w:r w:rsidRPr="007951F5">
        <w:rPr>
          <w:noProof/>
          <w:sz w:val="18"/>
          <w:szCs w:val="22"/>
        </w:rPr>
        <w:t>Sessioni di discussione/esercitazioni su temi sp</w:t>
      </w:r>
      <w:r w:rsidRPr="007951F5">
        <w:rPr>
          <w:noProof/>
          <w:sz w:val="18"/>
        </w:rPr>
        <w:t>ecifici/d’attualità.</w:t>
      </w:r>
    </w:p>
    <w:p w14:paraId="1EB20EE4" w14:textId="77777777" w:rsidR="007951F5" w:rsidRPr="007951F5" w:rsidRDefault="007951F5" w:rsidP="007951F5">
      <w:pPr>
        <w:tabs>
          <w:tab w:val="clear" w:pos="284"/>
          <w:tab w:val="left" w:pos="426"/>
        </w:tabs>
        <w:spacing w:line="220" w:lineRule="exact"/>
        <w:ind w:right="453"/>
        <w:rPr>
          <w:noProof/>
          <w:sz w:val="18"/>
          <w:szCs w:val="22"/>
        </w:rPr>
      </w:pPr>
      <w:r w:rsidRPr="007951F5">
        <w:rPr>
          <w:noProof/>
          <w:sz w:val="18"/>
          <w:szCs w:val="22"/>
        </w:rPr>
        <w:t>Dura</w:t>
      </w:r>
      <w:r w:rsidR="00264ACF">
        <w:rPr>
          <w:noProof/>
          <w:sz w:val="18"/>
          <w:szCs w:val="22"/>
        </w:rPr>
        <w:t>nte il corso verrà distribuito via Blackboard</w:t>
      </w:r>
      <w:r w:rsidRPr="007951F5">
        <w:rPr>
          <w:noProof/>
          <w:sz w:val="18"/>
          <w:szCs w:val="22"/>
        </w:rPr>
        <w:t xml:space="preserve"> il materiale per permettere l’approfondimento/aggiornamento e la discussione in aula e per poter svolgere esercitazioni/casi aziendali.</w:t>
      </w:r>
    </w:p>
    <w:p w14:paraId="2FF21367" w14:textId="77777777" w:rsidR="007951F5" w:rsidRPr="007951F5" w:rsidRDefault="007951F5" w:rsidP="007951F5">
      <w:pPr>
        <w:spacing w:before="240" w:after="120" w:line="220" w:lineRule="exact"/>
        <w:rPr>
          <w:b/>
          <w:i/>
          <w:sz w:val="18"/>
        </w:rPr>
      </w:pPr>
      <w:r w:rsidRPr="007951F5">
        <w:rPr>
          <w:b/>
          <w:i/>
          <w:sz w:val="18"/>
        </w:rPr>
        <w:t>METODO DI VALUTAZIONE</w:t>
      </w:r>
    </w:p>
    <w:p w14:paraId="74DF1056" w14:textId="77777777" w:rsidR="007951F5" w:rsidRPr="007951F5" w:rsidRDefault="007951F5" w:rsidP="007951F5">
      <w:pPr>
        <w:tabs>
          <w:tab w:val="clear" w:pos="284"/>
        </w:tabs>
        <w:spacing w:line="220" w:lineRule="exact"/>
        <w:ind w:right="453" w:firstLine="284"/>
        <w:rPr>
          <w:b/>
          <w:noProof/>
          <w:sz w:val="18"/>
        </w:rPr>
      </w:pPr>
      <w:r w:rsidRPr="007951F5">
        <w:rPr>
          <w:b/>
          <w:noProof/>
          <w:sz w:val="18"/>
        </w:rPr>
        <w:t xml:space="preserve">Il voto del Modulo 1 rappresenta il 33% del voto finale. </w:t>
      </w:r>
    </w:p>
    <w:p w14:paraId="2C829CBE" w14:textId="77777777" w:rsidR="007951F5" w:rsidRPr="007951F5" w:rsidRDefault="007951F5" w:rsidP="007951F5">
      <w:pPr>
        <w:tabs>
          <w:tab w:val="clear" w:pos="284"/>
        </w:tabs>
        <w:spacing w:line="220" w:lineRule="exact"/>
        <w:ind w:right="453" w:firstLine="284"/>
        <w:rPr>
          <w:b/>
          <w:noProof/>
          <w:sz w:val="18"/>
        </w:rPr>
      </w:pPr>
    </w:p>
    <w:p w14:paraId="29C3F546" w14:textId="77777777" w:rsidR="007951F5" w:rsidRPr="007951F5" w:rsidRDefault="007951F5" w:rsidP="007951F5">
      <w:pPr>
        <w:tabs>
          <w:tab w:val="clear" w:pos="284"/>
        </w:tabs>
        <w:spacing w:line="220" w:lineRule="exact"/>
        <w:ind w:right="453" w:firstLine="284"/>
        <w:rPr>
          <w:noProof/>
          <w:sz w:val="18"/>
        </w:rPr>
      </w:pPr>
      <w:r w:rsidRPr="007951F5">
        <w:rPr>
          <w:b/>
          <w:noProof/>
          <w:sz w:val="18"/>
        </w:rPr>
        <w:t>Per gli studenti frequentanti</w:t>
      </w:r>
      <w:r w:rsidRPr="007951F5">
        <w:rPr>
          <w:noProof/>
          <w:sz w:val="18"/>
        </w:rPr>
        <w:t xml:space="preserve"> la valutazione si basa per il 40% su un  lavoro di gruppo (2 o 3 persone).  Il lavoro di gruppo prevede anche una presentazione in aula che si svolgerà  in modo comparato tra i diversi gruppi. Per il restante 60% su una prova </w:t>
      </w:r>
      <w:r w:rsidR="00264ACF">
        <w:rPr>
          <w:noProof/>
          <w:sz w:val="18"/>
        </w:rPr>
        <w:t>finale  che dovrà essere svolta</w:t>
      </w:r>
      <w:r w:rsidRPr="007951F5">
        <w:rPr>
          <w:noProof/>
          <w:sz w:val="18"/>
        </w:rPr>
        <w:t xml:space="preserve"> negli appelli previst</w:t>
      </w:r>
      <w:r w:rsidR="00264ACF">
        <w:rPr>
          <w:noProof/>
          <w:sz w:val="18"/>
        </w:rPr>
        <w:t>i</w:t>
      </w:r>
      <w:r w:rsidRPr="007951F5">
        <w:rPr>
          <w:noProof/>
          <w:sz w:val="18"/>
        </w:rPr>
        <w:t>. La prova finale è scritt</w:t>
      </w:r>
      <w:r w:rsidR="00264ACF">
        <w:rPr>
          <w:noProof/>
          <w:sz w:val="18"/>
        </w:rPr>
        <w:t>a, ha la durata di circa un’ora e mezzo</w:t>
      </w:r>
      <w:r w:rsidRPr="007951F5">
        <w:rPr>
          <w:noProof/>
          <w:sz w:val="18"/>
        </w:rPr>
        <w:t xml:space="preserve"> e si compone di </w:t>
      </w:r>
      <w:r w:rsidR="00264ACF">
        <w:rPr>
          <w:noProof/>
          <w:sz w:val="18"/>
        </w:rPr>
        <w:t>cinque/sei</w:t>
      </w:r>
      <w:r w:rsidRPr="007951F5">
        <w:rPr>
          <w:noProof/>
          <w:sz w:val="18"/>
        </w:rPr>
        <w:t xml:space="preserve"> domande aperte</w:t>
      </w:r>
      <w:r w:rsidR="00264ACF">
        <w:rPr>
          <w:noProof/>
          <w:sz w:val="18"/>
        </w:rPr>
        <w:t xml:space="preserve"> sugli argomenti svolti a lezione</w:t>
      </w:r>
      <w:r w:rsidRPr="007951F5">
        <w:rPr>
          <w:noProof/>
          <w:sz w:val="18"/>
        </w:rPr>
        <w:t xml:space="preserve">. </w:t>
      </w:r>
    </w:p>
    <w:p w14:paraId="5DA54682" w14:textId="77777777" w:rsidR="007951F5" w:rsidRPr="007951F5" w:rsidRDefault="007951F5" w:rsidP="007951F5">
      <w:pPr>
        <w:tabs>
          <w:tab w:val="clear" w:pos="284"/>
        </w:tabs>
        <w:spacing w:line="220" w:lineRule="exact"/>
        <w:ind w:right="453" w:firstLine="284"/>
        <w:rPr>
          <w:b/>
          <w:noProof/>
          <w:sz w:val="18"/>
        </w:rPr>
      </w:pPr>
    </w:p>
    <w:p w14:paraId="288EDF64" w14:textId="77777777" w:rsidR="007951F5" w:rsidRPr="007951F5" w:rsidRDefault="007951F5" w:rsidP="007951F5">
      <w:pPr>
        <w:tabs>
          <w:tab w:val="clear" w:pos="284"/>
        </w:tabs>
        <w:spacing w:line="220" w:lineRule="exact"/>
        <w:ind w:right="453" w:firstLine="284"/>
        <w:rPr>
          <w:noProof/>
          <w:sz w:val="18"/>
        </w:rPr>
      </w:pPr>
      <w:r w:rsidRPr="007951F5">
        <w:rPr>
          <w:b/>
          <w:noProof/>
          <w:sz w:val="18"/>
        </w:rPr>
        <w:t>Per gli studenti non frequentanti</w:t>
      </w:r>
      <w:r w:rsidRPr="007951F5">
        <w:rPr>
          <w:noProof/>
          <w:sz w:val="18"/>
        </w:rPr>
        <w:t xml:space="preserve"> la valutazione si basa su una prova scritta che si svolgerà negli appelli di esame previsti. La prova finale è scr</w:t>
      </w:r>
      <w:r w:rsidR="00264ACF">
        <w:rPr>
          <w:noProof/>
          <w:sz w:val="18"/>
        </w:rPr>
        <w:t>itta, ha la durata di circa un’</w:t>
      </w:r>
      <w:r w:rsidRPr="007951F5">
        <w:rPr>
          <w:noProof/>
          <w:sz w:val="18"/>
        </w:rPr>
        <w:t xml:space="preserve">ora </w:t>
      </w:r>
      <w:r w:rsidR="00264ACF">
        <w:rPr>
          <w:noProof/>
          <w:sz w:val="18"/>
        </w:rPr>
        <w:t xml:space="preserve">mezzo </w:t>
      </w:r>
      <w:r w:rsidRPr="007951F5">
        <w:rPr>
          <w:noProof/>
          <w:sz w:val="18"/>
        </w:rPr>
        <w:t xml:space="preserve">e si compone di </w:t>
      </w:r>
      <w:r w:rsidR="00264ACF">
        <w:rPr>
          <w:noProof/>
          <w:sz w:val="18"/>
        </w:rPr>
        <w:t xml:space="preserve">cinque/sei </w:t>
      </w:r>
      <w:r w:rsidRPr="007951F5">
        <w:rPr>
          <w:noProof/>
          <w:sz w:val="18"/>
        </w:rPr>
        <w:t>domande aperte</w:t>
      </w:r>
      <w:r w:rsidR="00264ACF">
        <w:rPr>
          <w:noProof/>
          <w:sz w:val="18"/>
        </w:rPr>
        <w:t>.</w:t>
      </w:r>
      <w:r w:rsidRPr="007951F5">
        <w:rPr>
          <w:noProof/>
          <w:sz w:val="18"/>
        </w:rPr>
        <w:t xml:space="preserve"> </w:t>
      </w:r>
    </w:p>
    <w:p w14:paraId="0C1CC3F7" w14:textId="77777777" w:rsidR="007951F5" w:rsidRPr="007951F5" w:rsidRDefault="007951F5" w:rsidP="007951F5">
      <w:pPr>
        <w:tabs>
          <w:tab w:val="clear" w:pos="284"/>
        </w:tabs>
        <w:spacing w:line="220" w:lineRule="exact"/>
        <w:ind w:right="453" w:firstLine="284"/>
        <w:rPr>
          <w:noProof/>
          <w:sz w:val="18"/>
        </w:rPr>
      </w:pPr>
    </w:p>
    <w:p w14:paraId="46969CE4" w14:textId="77777777" w:rsidR="007951F5" w:rsidRPr="007951F5" w:rsidRDefault="00264ACF" w:rsidP="007951F5">
      <w:pPr>
        <w:tabs>
          <w:tab w:val="clear" w:pos="284"/>
        </w:tabs>
        <w:spacing w:line="220" w:lineRule="exact"/>
        <w:ind w:right="453" w:firstLine="284"/>
        <w:rPr>
          <w:noProof/>
          <w:sz w:val="18"/>
        </w:rPr>
      </w:pPr>
      <w:r>
        <w:rPr>
          <w:noProof/>
          <w:sz w:val="18"/>
        </w:rPr>
        <w:t xml:space="preserve">L’esame è volto a valutare </w:t>
      </w:r>
      <w:r w:rsidR="007951F5" w:rsidRPr="007951F5">
        <w:rPr>
          <w:noProof/>
          <w:sz w:val="18"/>
        </w:rPr>
        <w:t xml:space="preserve">conoscenze, opinioni, e acquisizione del linguaggio tecnico sulle principali problematiche regolamentari  strategiche e gestionali delle investment banks che operano  in un contesto internazionale. </w:t>
      </w:r>
    </w:p>
    <w:p w14:paraId="1B0DBF95" w14:textId="77777777" w:rsidR="007951F5" w:rsidRPr="007951F5" w:rsidRDefault="007951F5" w:rsidP="007951F5">
      <w:pPr>
        <w:tabs>
          <w:tab w:val="clear" w:pos="284"/>
        </w:tabs>
        <w:spacing w:line="220" w:lineRule="exact"/>
        <w:ind w:right="453" w:firstLine="284"/>
        <w:rPr>
          <w:noProof/>
          <w:sz w:val="18"/>
        </w:rPr>
      </w:pPr>
    </w:p>
    <w:p w14:paraId="797B680E" w14:textId="77777777" w:rsidR="007951F5" w:rsidRPr="007951F5" w:rsidRDefault="007951F5" w:rsidP="007951F5">
      <w:pPr>
        <w:tabs>
          <w:tab w:val="clear" w:pos="284"/>
        </w:tabs>
        <w:spacing w:line="220" w:lineRule="exact"/>
        <w:ind w:right="453" w:firstLine="284"/>
        <w:rPr>
          <w:noProof/>
          <w:sz w:val="18"/>
        </w:rPr>
      </w:pPr>
    </w:p>
    <w:p w14:paraId="325E2573" w14:textId="77777777" w:rsidR="00ED2DBD" w:rsidRPr="009D3227" w:rsidRDefault="00ED2DBD" w:rsidP="00ED2DBD">
      <w:pPr>
        <w:rPr>
          <w:b/>
        </w:rPr>
      </w:pPr>
      <w:r w:rsidRPr="009D3227">
        <w:rPr>
          <w:b/>
        </w:rPr>
        <w:t>Modulo II – Gestione dei Rischi</w:t>
      </w:r>
    </w:p>
    <w:p w14:paraId="60CF8604" w14:textId="77777777" w:rsidR="00ED2DBD" w:rsidRPr="006E189B" w:rsidRDefault="00ED2DBD" w:rsidP="00ED2DBD">
      <w:pPr>
        <w:pStyle w:val="Titolo2"/>
      </w:pPr>
      <w:r w:rsidRPr="009D3227">
        <w:t>Prof.</w:t>
      </w:r>
      <w:r>
        <w:t xml:space="preserve"> Francesca Pampurini</w:t>
      </w:r>
    </w:p>
    <w:p w14:paraId="14552E1C" w14:textId="77777777" w:rsidR="00ED2DBD" w:rsidRPr="006E189B" w:rsidRDefault="00ED2DBD" w:rsidP="00ED2DBD">
      <w:pPr>
        <w:spacing w:before="240" w:after="120"/>
        <w:rPr>
          <w:b/>
          <w:sz w:val="18"/>
        </w:rPr>
      </w:pPr>
      <w:r w:rsidRPr="006E189B">
        <w:rPr>
          <w:b/>
          <w:i/>
          <w:sz w:val="18"/>
        </w:rPr>
        <w:t>OBIETTIVO DEL CORSO</w:t>
      </w:r>
    </w:p>
    <w:p w14:paraId="22D695CE" w14:textId="77777777" w:rsidR="00ED2DBD" w:rsidRPr="003525CC" w:rsidRDefault="00ED2DBD" w:rsidP="00ED2DBD">
      <w:r w:rsidRPr="006E189B">
        <w:t>Il corso si propone di esaminare l’attività di gestione dei rischi (</w:t>
      </w:r>
      <w:proofErr w:type="spellStart"/>
      <w:r w:rsidRPr="006E189B">
        <w:t>risk</w:t>
      </w:r>
      <w:proofErr w:type="spellEnd"/>
      <w:r w:rsidRPr="006E189B">
        <w:t xml:space="preserve"> management) nell’ambito delle imprese non finanziarie e delle principali tipologie di intermediari </w:t>
      </w:r>
      <w:r w:rsidRPr="003525CC">
        <w:t>finanziari. In dettaglio, si intendono illustrare:</w:t>
      </w:r>
    </w:p>
    <w:p w14:paraId="1D3DCB11" w14:textId="77777777" w:rsidR="00ED2DBD" w:rsidRPr="003525CC" w:rsidRDefault="00ED2DBD" w:rsidP="00ED2DBD">
      <w:pPr>
        <w:numPr>
          <w:ilvl w:val="0"/>
          <w:numId w:val="5"/>
        </w:numPr>
        <w:tabs>
          <w:tab w:val="clear" w:pos="284"/>
          <w:tab w:val="clear" w:pos="1069"/>
          <w:tab w:val="left" w:pos="-3119"/>
          <w:tab w:val="num" w:pos="0"/>
        </w:tabs>
        <w:ind w:left="142" w:hanging="142"/>
      </w:pPr>
      <w:r w:rsidRPr="003525CC">
        <w:t>Le diverse tipologie di rischi;</w:t>
      </w:r>
    </w:p>
    <w:p w14:paraId="66A40CBC" w14:textId="77777777" w:rsidR="00ED2DBD" w:rsidRPr="003525CC" w:rsidRDefault="00ED2DBD" w:rsidP="00ED2DBD">
      <w:pPr>
        <w:numPr>
          <w:ilvl w:val="0"/>
          <w:numId w:val="5"/>
        </w:numPr>
        <w:tabs>
          <w:tab w:val="clear" w:pos="284"/>
          <w:tab w:val="clear" w:pos="1069"/>
          <w:tab w:val="left" w:pos="-3119"/>
          <w:tab w:val="num" w:pos="0"/>
        </w:tabs>
        <w:ind w:left="142" w:hanging="142"/>
      </w:pPr>
      <w:r w:rsidRPr="003525CC">
        <w:t xml:space="preserve">Le principali fasi del </w:t>
      </w:r>
      <w:proofErr w:type="spellStart"/>
      <w:r w:rsidRPr="003525CC">
        <w:t>risk</w:t>
      </w:r>
      <w:proofErr w:type="spellEnd"/>
      <w:r w:rsidRPr="003525CC">
        <w:t xml:space="preserve"> management;</w:t>
      </w:r>
    </w:p>
    <w:p w14:paraId="3E898607" w14:textId="77777777" w:rsidR="00ED2DBD" w:rsidRPr="003525CC" w:rsidRDefault="00ED2DBD" w:rsidP="00ED2DBD">
      <w:pPr>
        <w:numPr>
          <w:ilvl w:val="0"/>
          <w:numId w:val="5"/>
        </w:numPr>
        <w:tabs>
          <w:tab w:val="clear" w:pos="284"/>
          <w:tab w:val="clear" w:pos="1069"/>
          <w:tab w:val="left" w:pos="-3119"/>
          <w:tab w:val="num" w:pos="0"/>
        </w:tabs>
        <w:ind w:left="142" w:hanging="142"/>
      </w:pPr>
      <w:r w:rsidRPr="003525CC">
        <w:lastRenderedPageBreak/>
        <w:t>La gestione dei rischi nella banca.</w:t>
      </w:r>
    </w:p>
    <w:p w14:paraId="3CE78C71" w14:textId="77777777" w:rsidR="00ED2DBD" w:rsidRPr="003525CC" w:rsidRDefault="00ED2DBD" w:rsidP="00ED2DBD">
      <w:pPr>
        <w:numPr>
          <w:ilvl w:val="0"/>
          <w:numId w:val="5"/>
        </w:numPr>
        <w:tabs>
          <w:tab w:val="clear" w:pos="284"/>
          <w:tab w:val="clear" w:pos="1069"/>
          <w:tab w:val="left" w:pos="-3119"/>
          <w:tab w:val="num" w:pos="0"/>
        </w:tabs>
        <w:ind w:left="142" w:hanging="142"/>
      </w:pPr>
      <w:r w:rsidRPr="003525CC">
        <w:t>Le caratteristiche dei rischi puri nel caso degli intermediari assicurativi;</w:t>
      </w:r>
    </w:p>
    <w:p w14:paraId="1A0392FC" w14:textId="77777777" w:rsidR="00ED2DBD" w:rsidRPr="003525CC" w:rsidRDefault="00ED2DBD" w:rsidP="00ED2DBD">
      <w:pPr>
        <w:tabs>
          <w:tab w:val="clear" w:pos="284"/>
          <w:tab w:val="left" w:pos="-3119"/>
        </w:tabs>
        <w:ind w:left="142"/>
      </w:pPr>
    </w:p>
    <w:p w14:paraId="162A8F69" w14:textId="77777777" w:rsidR="00ED2DBD" w:rsidRPr="003525CC" w:rsidRDefault="00ED2DBD" w:rsidP="00ED2DBD">
      <w:pPr>
        <w:tabs>
          <w:tab w:val="clear" w:pos="284"/>
          <w:tab w:val="left" w:pos="-3119"/>
        </w:tabs>
        <w:rPr>
          <w:b/>
          <w:i/>
          <w:sz w:val="14"/>
          <w:szCs w:val="14"/>
        </w:rPr>
      </w:pPr>
      <w:r w:rsidRPr="003525CC">
        <w:rPr>
          <w:b/>
          <w:i/>
          <w:sz w:val="14"/>
          <w:szCs w:val="14"/>
        </w:rPr>
        <w:t>RISULTATI DI APPRENDIMENTO</w:t>
      </w:r>
    </w:p>
    <w:p w14:paraId="79CC7C05" w14:textId="77777777" w:rsidR="00ED2DBD" w:rsidRPr="006E189B" w:rsidRDefault="00ED2DBD" w:rsidP="00ED2DBD">
      <w:r w:rsidRPr="003525CC">
        <w:t xml:space="preserve">Al termine del corso gli studenti dovranno essere in grado di comprendere e </w:t>
      </w:r>
      <w:r w:rsidRPr="006E189B">
        <w:t>utilizzare le principali tecniche di individuazione, misurazione e gestione dei rischi.</w:t>
      </w:r>
    </w:p>
    <w:p w14:paraId="34BEB398" w14:textId="77777777" w:rsidR="00ED2DBD" w:rsidRPr="006E189B" w:rsidRDefault="00ED2DBD" w:rsidP="00ED2DBD">
      <w:pPr>
        <w:spacing w:before="240" w:after="120"/>
        <w:rPr>
          <w:b/>
          <w:sz w:val="18"/>
        </w:rPr>
      </w:pPr>
      <w:r w:rsidRPr="006E189B">
        <w:rPr>
          <w:b/>
          <w:i/>
          <w:sz w:val="18"/>
        </w:rPr>
        <w:t>PROGRAMMA DEL CORSO</w:t>
      </w:r>
    </w:p>
    <w:p w14:paraId="12FC97BA" w14:textId="77777777" w:rsidR="00ED2DBD" w:rsidRPr="006E189B" w:rsidRDefault="00ED2DBD" w:rsidP="00ED2DBD">
      <w:pPr>
        <w:numPr>
          <w:ilvl w:val="0"/>
          <w:numId w:val="2"/>
        </w:numPr>
        <w:tabs>
          <w:tab w:val="clear" w:pos="284"/>
          <w:tab w:val="left" w:pos="142"/>
        </w:tabs>
        <w:ind w:hanging="1069"/>
      </w:pPr>
      <w:r w:rsidRPr="006E189B">
        <w:t>La tassonomia dei rischi.</w:t>
      </w:r>
    </w:p>
    <w:p w14:paraId="7F557550" w14:textId="77777777" w:rsidR="00ED2DBD" w:rsidRPr="004A3B2A" w:rsidRDefault="00ED2DBD" w:rsidP="00ED2DBD">
      <w:pPr>
        <w:numPr>
          <w:ilvl w:val="0"/>
          <w:numId w:val="2"/>
        </w:numPr>
        <w:tabs>
          <w:tab w:val="clear" w:pos="284"/>
          <w:tab w:val="left" w:pos="142"/>
        </w:tabs>
        <w:ind w:hanging="1069"/>
      </w:pPr>
      <w:r w:rsidRPr="006E189B">
        <w:t>Rischi puri e ruolo degli intermediari assicurativi.</w:t>
      </w:r>
    </w:p>
    <w:p w14:paraId="0C82677D" w14:textId="77777777" w:rsidR="00ED2DBD" w:rsidRPr="006E189B" w:rsidRDefault="00ED2DBD" w:rsidP="00ED2DBD">
      <w:pPr>
        <w:numPr>
          <w:ilvl w:val="0"/>
          <w:numId w:val="2"/>
        </w:numPr>
        <w:tabs>
          <w:tab w:val="clear" w:pos="284"/>
          <w:tab w:val="left" w:pos="142"/>
        </w:tabs>
        <w:ind w:hanging="1069"/>
      </w:pPr>
      <w:r>
        <w:t xml:space="preserve">I </w:t>
      </w:r>
      <w:r w:rsidRPr="00FA39E5">
        <w:t>rischi nella banca e negli intermediari finanziari</w:t>
      </w:r>
    </w:p>
    <w:p w14:paraId="01C8EFC5" w14:textId="77777777" w:rsidR="00ED2DBD" w:rsidRPr="006E189B" w:rsidRDefault="00ED2DBD" w:rsidP="00ED2DBD">
      <w:pPr>
        <w:numPr>
          <w:ilvl w:val="1"/>
          <w:numId w:val="2"/>
        </w:numPr>
        <w:tabs>
          <w:tab w:val="clear" w:pos="1440"/>
          <w:tab w:val="left" w:pos="142"/>
          <w:tab w:val="num" w:pos="284"/>
        </w:tabs>
        <w:ind w:hanging="1298"/>
      </w:pPr>
      <w:r w:rsidRPr="006E189B">
        <w:t>Le principali tipologie di rischi.</w:t>
      </w:r>
    </w:p>
    <w:p w14:paraId="14A30560" w14:textId="77777777" w:rsidR="00ED2DBD" w:rsidRPr="006E189B" w:rsidRDefault="00ED2DBD" w:rsidP="00ED2DBD">
      <w:pPr>
        <w:numPr>
          <w:ilvl w:val="1"/>
          <w:numId w:val="2"/>
        </w:numPr>
        <w:tabs>
          <w:tab w:val="clear" w:pos="1440"/>
          <w:tab w:val="left" w:pos="142"/>
          <w:tab w:val="num" w:pos="284"/>
        </w:tabs>
        <w:ind w:hanging="1298"/>
      </w:pPr>
      <w:r w:rsidRPr="006E189B">
        <w:t>Metodologie di misurazione.</w:t>
      </w:r>
    </w:p>
    <w:p w14:paraId="4D11FF2E" w14:textId="77777777" w:rsidR="00ED2DBD" w:rsidRPr="006E189B" w:rsidRDefault="00ED2DBD" w:rsidP="00ED2DBD">
      <w:pPr>
        <w:numPr>
          <w:ilvl w:val="1"/>
          <w:numId w:val="2"/>
        </w:numPr>
        <w:tabs>
          <w:tab w:val="clear" w:pos="1440"/>
          <w:tab w:val="left" w:pos="142"/>
          <w:tab w:val="num" w:pos="284"/>
        </w:tabs>
        <w:ind w:hanging="1298"/>
      </w:pPr>
      <w:r w:rsidRPr="006E189B">
        <w:t>Il controllo interno del rischio.</w:t>
      </w:r>
    </w:p>
    <w:p w14:paraId="4677673F" w14:textId="77777777" w:rsidR="00ED2DBD" w:rsidRPr="006E189B" w:rsidRDefault="00ED2DBD" w:rsidP="00ED2DBD">
      <w:pPr>
        <w:numPr>
          <w:ilvl w:val="1"/>
          <w:numId w:val="2"/>
        </w:numPr>
        <w:tabs>
          <w:tab w:val="clear" w:pos="1440"/>
          <w:tab w:val="left" w:pos="142"/>
          <w:tab w:val="num" w:pos="284"/>
        </w:tabs>
        <w:ind w:hanging="1298"/>
      </w:pPr>
      <w:r w:rsidRPr="006E189B">
        <w:t>Gli aspetti regolamentari.</w:t>
      </w:r>
    </w:p>
    <w:p w14:paraId="6DC0A610" w14:textId="77777777" w:rsidR="00ED2DBD" w:rsidRPr="006E189B" w:rsidRDefault="00ED2DBD" w:rsidP="00ED2DBD">
      <w:pPr>
        <w:numPr>
          <w:ilvl w:val="1"/>
          <w:numId w:val="2"/>
        </w:numPr>
        <w:tabs>
          <w:tab w:val="clear" w:pos="1440"/>
          <w:tab w:val="left" w:pos="142"/>
          <w:tab w:val="num" w:pos="284"/>
        </w:tabs>
        <w:ind w:hanging="1298"/>
      </w:pPr>
      <w:r w:rsidRPr="006E189B">
        <w:t>Rischio e valore.</w:t>
      </w:r>
    </w:p>
    <w:p w14:paraId="12AFAD46" w14:textId="77777777" w:rsidR="00ED2DBD" w:rsidRPr="006E189B" w:rsidRDefault="00ED2DBD" w:rsidP="00ED2DBD">
      <w:pPr>
        <w:tabs>
          <w:tab w:val="clear" w:pos="284"/>
          <w:tab w:val="left" w:pos="142"/>
        </w:tabs>
      </w:pPr>
    </w:p>
    <w:p w14:paraId="78971AD6" w14:textId="77777777" w:rsidR="00ED2DBD" w:rsidRPr="006E189B" w:rsidRDefault="00ED2DBD" w:rsidP="00ED2DBD">
      <w:pPr>
        <w:keepNext/>
        <w:spacing w:before="240" w:after="120"/>
        <w:rPr>
          <w:b/>
          <w:sz w:val="18"/>
        </w:rPr>
      </w:pPr>
      <w:r w:rsidRPr="006E189B">
        <w:rPr>
          <w:b/>
          <w:i/>
          <w:sz w:val="18"/>
        </w:rPr>
        <w:t>BIBLIOGRAFIA</w:t>
      </w:r>
    </w:p>
    <w:p w14:paraId="57ED7DB9" w14:textId="77777777" w:rsidR="00ED2DBD" w:rsidRPr="00FA39E5" w:rsidRDefault="00ED2DBD" w:rsidP="00ED2DBD">
      <w:pPr>
        <w:pStyle w:val="Testo1"/>
        <w:spacing w:line="220" w:lineRule="atLeast"/>
        <w:ind w:left="0" w:firstLine="0"/>
      </w:pPr>
      <w:r w:rsidRPr="00FA39E5">
        <w:rPr>
          <w:smallCaps/>
          <w:sz w:val="16"/>
          <w:szCs w:val="16"/>
        </w:rPr>
        <w:t>A. Sironi-A. Resti</w:t>
      </w:r>
      <w:r w:rsidRPr="00FA39E5">
        <w:t xml:space="preserve">, </w:t>
      </w:r>
      <w:r w:rsidRPr="00FA39E5">
        <w:rPr>
          <w:i/>
        </w:rPr>
        <w:t>Rischio e valore nelle banche</w:t>
      </w:r>
      <w:r w:rsidRPr="00FA39E5">
        <w:t>, EGEA 2008.</w:t>
      </w:r>
    </w:p>
    <w:p w14:paraId="4CFD1752" w14:textId="77777777" w:rsidR="00ED2DBD" w:rsidRPr="006E189B" w:rsidRDefault="00ED2DBD" w:rsidP="00ED2DBD">
      <w:pPr>
        <w:pStyle w:val="Testo1"/>
        <w:spacing w:line="220" w:lineRule="atLeast"/>
        <w:ind w:left="0" w:firstLine="0"/>
      </w:pPr>
      <w:r w:rsidRPr="00643366">
        <w:t>Sulla pagina web del docente sarà inoltre pubblicato il syllabus del corso con il dettaglio degli argomenti trattati e oggetto di esame.</w:t>
      </w:r>
    </w:p>
    <w:p w14:paraId="24747AF5" w14:textId="77777777" w:rsidR="00ED2DBD" w:rsidRDefault="00ED2DBD" w:rsidP="00ED2DBD">
      <w:pPr>
        <w:pStyle w:val="Testo1"/>
        <w:spacing w:line="220" w:lineRule="atLeast"/>
        <w:ind w:left="0" w:firstLine="0"/>
      </w:pPr>
    </w:p>
    <w:p w14:paraId="07F81AF5" w14:textId="77777777" w:rsidR="00ED2DBD" w:rsidRDefault="00ED2DBD" w:rsidP="00ED2DBD">
      <w:pPr>
        <w:spacing w:before="240" w:after="120" w:line="220" w:lineRule="exact"/>
        <w:rPr>
          <w:b/>
          <w:i/>
          <w:sz w:val="18"/>
        </w:rPr>
      </w:pPr>
      <w:r w:rsidRPr="006E189B">
        <w:rPr>
          <w:b/>
          <w:i/>
          <w:sz w:val="18"/>
        </w:rPr>
        <w:t>DIDATTICA DEL CORSO</w:t>
      </w:r>
    </w:p>
    <w:p w14:paraId="542EE0E6" w14:textId="77777777" w:rsidR="00ED2DBD" w:rsidRDefault="00ED2DBD" w:rsidP="00ED2DBD">
      <w:pPr>
        <w:pStyle w:val="Testo2"/>
        <w:ind w:firstLine="0"/>
      </w:pPr>
      <w:r>
        <w:t>Il corso prevede lezioni ed esercitazioni incentrate sugli aspetti tecnici del corso. Sono altresì previsti interventi di operatori del sistema finanziario responsabili della funzione di risk management.</w:t>
      </w:r>
    </w:p>
    <w:p w14:paraId="2576C4BA" w14:textId="77777777" w:rsidR="00ED2DBD" w:rsidRDefault="00ED2DBD" w:rsidP="00ED2DBD">
      <w:pPr>
        <w:spacing w:before="240" w:after="120" w:line="220" w:lineRule="exact"/>
        <w:rPr>
          <w:b/>
          <w:i/>
          <w:sz w:val="18"/>
        </w:rPr>
      </w:pPr>
      <w:r>
        <w:rPr>
          <w:b/>
          <w:i/>
          <w:sz w:val="18"/>
        </w:rPr>
        <w:t>METODO DI VALUTAZIONE</w:t>
      </w:r>
    </w:p>
    <w:p w14:paraId="5865DFFF" w14:textId="77777777" w:rsidR="00ED2DBD" w:rsidRPr="007951F5" w:rsidRDefault="00ED2DBD" w:rsidP="00ED2DBD">
      <w:pPr>
        <w:tabs>
          <w:tab w:val="clear" w:pos="284"/>
        </w:tabs>
        <w:spacing w:line="220" w:lineRule="exact"/>
        <w:ind w:right="453"/>
        <w:rPr>
          <w:b/>
          <w:noProof/>
          <w:sz w:val="18"/>
        </w:rPr>
      </w:pPr>
      <w:r w:rsidRPr="007951F5">
        <w:rPr>
          <w:b/>
          <w:noProof/>
          <w:sz w:val="18"/>
        </w:rPr>
        <w:t xml:space="preserve">Il voto del Modulo </w:t>
      </w:r>
      <w:r>
        <w:rPr>
          <w:b/>
          <w:noProof/>
          <w:sz w:val="18"/>
        </w:rPr>
        <w:t>II</w:t>
      </w:r>
      <w:r w:rsidRPr="007951F5">
        <w:rPr>
          <w:b/>
          <w:noProof/>
          <w:sz w:val="18"/>
        </w:rPr>
        <w:t xml:space="preserve"> rappresenta il </w:t>
      </w:r>
      <w:r>
        <w:rPr>
          <w:b/>
          <w:noProof/>
          <w:sz w:val="18"/>
        </w:rPr>
        <w:t>66% del voto finale.</w:t>
      </w:r>
    </w:p>
    <w:p w14:paraId="574F1DF7" w14:textId="77777777" w:rsidR="00ED2DBD" w:rsidRPr="007951F5" w:rsidRDefault="00ED2DBD" w:rsidP="00ED2DBD">
      <w:pPr>
        <w:tabs>
          <w:tab w:val="clear" w:pos="284"/>
        </w:tabs>
        <w:spacing w:line="220" w:lineRule="exact"/>
        <w:ind w:right="453" w:firstLine="284"/>
        <w:rPr>
          <w:b/>
          <w:noProof/>
          <w:sz w:val="18"/>
        </w:rPr>
      </w:pPr>
    </w:p>
    <w:p w14:paraId="113D6EE4" w14:textId="77777777" w:rsidR="00ED2DBD" w:rsidRDefault="00ED2DBD" w:rsidP="00ED2DBD">
      <w:pPr>
        <w:pStyle w:val="Testo2"/>
        <w:ind w:firstLine="0"/>
      </w:pPr>
      <w:r>
        <w:t>L’esame si svolge in forma scritta. Non sono ammesse prove orali. Per gli studenti frequentanti è prevista la possibilità di sostenere una prima prova parziale; se viene superata lo studente ha la possibilità di sostenere una seconda prova parziale in corrispondenza del primo appello della sessione. Il voto finale della prova di gestione dei rischi (Modulo II) sarà pari alla media delle due votazioni (se positive). A tale voto verrà sommato il punteggio ottenuto nel lavoro di gruppo (0 – 2 punti max). Il lavoro di gruppo è facoltativo e consiste nell’analisi della documentazione e della situazione “rischi” di una banca. Tutti i gruppi presenteranno in aula il risultato finale del loro elaborato.</w:t>
      </w:r>
    </w:p>
    <w:p w14:paraId="7CD3D25A" w14:textId="77777777" w:rsidR="00ED2DBD" w:rsidRDefault="00ED2DBD" w:rsidP="00ED2DBD">
      <w:pPr>
        <w:pStyle w:val="Testo2"/>
        <w:ind w:firstLine="0"/>
      </w:pPr>
    </w:p>
    <w:p w14:paraId="6539C95E" w14:textId="77777777" w:rsidR="00ED2DBD" w:rsidRDefault="00ED2DBD" w:rsidP="00ED2DBD">
      <w:pPr>
        <w:pStyle w:val="Testo2"/>
        <w:ind w:firstLine="0"/>
      </w:pPr>
      <w:r>
        <w:t>Il voto finale dell’esame di corporate banking e gestione dei rischi (Modulo I + Modulo II) sarà pari alla media ponderata dei voti (se positivi) conseguiti nelle due singole parti. Ciascuno studente potrà scegliere se sostenere entrambe le parti nella medesima seduta oppure in due diversi appelli della medesima sessione. Il voto di gestione dei rischi rimane valido fino al termine della sessione in cui è stato conseguito (a meno di accordi diversi con il docente).</w:t>
      </w:r>
    </w:p>
    <w:p w14:paraId="74EF12F5" w14:textId="77777777" w:rsidR="00ED2DBD" w:rsidRDefault="00ED2DBD" w:rsidP="00ED2DBD">
      <w:pPr>
        <w:pStyle w:val="Testo2"/>
        <w:rPr>
          <w:bCs/>
        </w:rPr>
      </w:pPr>
    </w:p>
    <w:p w14:paraId="12B72BDB" w14:textId="77777777" w:rsidR="00ED2DBD" w:rsidRDefault="00ED2DBD" w:rsidP="00ED2DBD">
      <w:pPr>
        <w:pStyle w:val="Testo2"/>
        <w:rPr>
          <w:bCs/>
        </w:rPr>
      </w:pPr>
    </w:p>
    <w:p w14:paraId="181A24C9" w14:textId="77777777" w:rsidR="00ED2DBD" w:rsidRDefault="00ED2DBD" w:rsidP="00ED2DBD">
      <w:pPr>
        <w:pStyle w:val="Testo2"/>
        <w:rPr>
          <w:bCs/>
        </w:rPr>
      </w:pPr>
    </w:p>
    <w:p w14:paraId="3E01FDA6" w14:textId="77777777" w:rsidR="00ED2DBD" w:rsidRDefault="00ED2DBD" w:rsidP="00ED2DBD">
      <w:pPr>
        <w:rPr>
          <w:b/>
          <w:i/>
          <w:sz w:val="18"/>
          <w:szCs w:val="18"/>
        </w:rPr>
      </w:pPr>
      <w:r>
        <w:rPr>
          <w:b/>
          <w:i/>
          <w:sz w:val="18"/>
          <w:szCs w:val="18"/>
        </w:rPr>
        <w:t>ORARIO E LUGO DI RICEVIMENTO STUDENTI</w:t>
      </w:r>
    </w:p>
    <w:p w14:paraId="6D6C9FD8" w14:textId="77777777" w:rsidR="00ED2DBD" w:rsidRPr="005702F4" w:rsidRDefault="00ED2DBD" w:rsidP="00ED2DBD">
      <w:pPr>
        <w:pStyle w:val="Titolo1"/>
        <w:spacing w:before="240"/>
        <w:jc w:val="both"/>
        <w:rPr>
          <w:b w:val="0"/>
          <w:sz w:val="18"/>
          <w:szCs w:val="18"/>
        </w:rPr>
      </w:pPr>
      <w:r w:rsidRPr="005702F4">
        <w:rPr>
          <w:b w:val="0"/>
          <w:sz w:val="18"/>
          <w:szCs w:val="18"/>
        </w:rPr>
        <w:t xml:space="preserve">Gli orari di ricevimento sono disponibili on line nella pagina personale del docente, consultabile al sito </w:t>
      </w:r>
      <w:hyperlink r:id="rId6" w:history="1">
        <w:r w:rsidRPr="005702F4">
          <w:rPr>
            <w:rStyle w:val="Collegamentoipertestuale"/>
            <w:b w:val="0"/>
            <w:szCs w:val="18"/>
          </w:rPr>
          <w:t>http://docenti.unicatt.it/</w:t>
        </w:r>
      </w:hyperlink>
    </w:p>
    <w:p w14:paraId="7B3D19CD" w14:textId="77777777" w:rsidR="00ED2DBD" w:rsidRPr="005702F4" w:rsidRDefault="00ED2DBD" w:rsidP="00ED2DBD">
      <w:pPr>
        <w:rPr>
          <w:sz w:val="18"/>
          <w:szCs w:val="18"/>
        </w:rPr>
      </w:pPr>
    </w:p>
    <w:p w14:paraId="7213C2BC" w14:textId="77777777" w:rsidR="00ED2DBD" w:rsidRDefault="00ED2DBD" w:rsidP="00ED2DBD">
      <w:pPr>
        <w:pStyle w:val="Testo2"/>
        <w:rPr>
          <w:bCs/>
        </w:rPr>
      </w:pPr>
    </w:p>
    <w:p w14:paraId="7B228A79" w14:textId="77777777" w:rsidR="00ED2DBD" w:rsidRPr="000B0723" w:rsidRDefault="00ED2DBD" w:rsidP="00ED2DBD">
      <w:pPr>
        <w:pStyle w:val="Testo2"/>
        <w:rPr>
          <w:bCs/>
        </w:rPr>
      </w:pPr>
    </w:p>
    <w:p w14:paraId="77273E9D" w14:textId="77777777" w:rsidR="00ED2DBD" w:rsidRPr="00AD6387" w:rsidRDefault="00ED2DBD" w:rsidP="00ED2DBD"/>
    <w:p w14:paraId="3799F436" w14:textId="77777777" w:rsidR="00ED2DBD" w:rsidRPr="002E5368" w:rsidRDefault="00ED2DBD" w:rsidP="00ED2DBD">
      <w:pPr>
        <w:pStyle w:val="Titolo3"/>
      </w:pPr>
    </w:p>
    <w:p w14:paraId="283A9A1B" w14:textId="77777777" w:rsidR="00ED2DBD" w:rsidRPr="003525CC" w:rsidRDefault="00ED2DBD" w:rsidP="00ED2DBD"/>
    <w:p w14:paraId="0E53D262" w14:textId="77777777" w:rsidR="007951F5" w:rsidRPr="007951F5" w:rsidRDefault="007951F5" w:rsidP="007951F5">
      <w:pPr>
        <w:tabs>
          <w:tab w:val="clear" w:pos="284"/>
        </w:tabs>
        <w:spacing w:line="220" w:lineRule="exact"/>
        <w:ind w:right="453" w:firstLine="284"/>
        <w:rPr>
          <w:noProof/>
          <w:sz w:val="18"/>
        </w:rPr>
      </w:pPr>
    </w:p>
    <w:p w14:paraId="40BA9F4A" w14:textId="77777777" w:rsidR="007951F5" w:rsidRPr="007951F5" w:rsidRDefault="007951F5" w:rsidP="007951F5">
      <w:pPr>
        <w:tabs>
          <w:tab w:val="clear" w:pos="284"/>
        </w:tabs>
        <w:spacing w:line="220" w:lineRule="exact"/>
        <w:ind w:right="453" w:firstLine="284"/>
        <w:rPr>
          <w:noProof/>
          <w:sz w:val="18"/>
        </w:rPr>
      </w:pPr>
    </w:p>
    <w:p w14:paraId="527DC1BC" w14:textId="77777777" w:rsidR="007951F5" w:rsidRPr="007951F5" w:rsidRDefault="007951F5" w:rsidP="007951F5">
      <w:pPr>
        <w:tabs>
          <w:tab w:val="clear" w:pos="284"/>
        </w:tabs>
        <w:spacing w:line="220" w:lineRule="exact"/>
        <w:ind w:right="453" w:firstLine="284"/>
        <w:rPr>
          <w:noProof/>
          <w:sz w:val="18"/>
        </w:rPr>
      </w:pPr>
    </w:p>
    <w:p w14:paraId="3D7E19B2" w14:textId="77777777" w:rsidR="007951F5" w:rsidRPr="007951F5" w:rsidRDefault="007951F5" w:rsidP="007951F5">
      <w:pPr>
        <w:rPr>
          <w:b/>
        </w:rPr>
      </w:pPr>
    </w:p>
    <w:p w14:paraId="29AC97AF" w14:textId="77777777" w:rsidR="007951F5" w:rsidRDefault="007951F5" w:rsidP="003525CC">
      <w:pPr>
        <w:rPr>
          <w:b/>
        </w:rPr>
      </w:pPr>
    </w:p>
    <w:sectPr w:rsidR="007951F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OpenSymbol" w:hAnsi="OpenSymbol" w:cs="Open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C5F0F78"/>
    <w:multiLevelType w:val="hybridMultilevel"/>
    <w:tmpl w:val="EE84E456"/>
    <w:lvl w:ilvl="0" w:tplc="BB58BA1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5347B26"/>
    <w:multiLevelType w:val="hybridMultilevel"/>
    <w:tmpl w:val="503C605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A06B7C"/>
    <w:multiLevelType w:val="hybridMultilevel"/>
    <w:tmpl w:val="793EBEDA"/>
    <w:lvl w:ilvl="0" w:tplc="5B123F1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2A3565E7"/>
    <w:multiLevelType w:val="hybridMultilevel"/>
    <w:tmpl w:val="3E7EB8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DB26B6"/>
    <w:multiLevelType w:val="hybridMultilevel"/>
    <w:tmpl w:val="7DCCA06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FA62929"/>
    <w:multiLevelType w:val="hybridMultilevel"/>
    <w:tmpl w:val="6584D0B4"/>
    <w:lvl w:ilvl="0" w:tplc="04100005">
      <w:start w:val="1"/>
      <w:numFmt w:val="bullet"/>
      <w:lvlText w:val=""/>
      <w:lvlJc w:val="left"/>
      <w:pPr>
        <w:tabs>
          <w:tab w:val="num" w:pos="1353"/>
        </w:tabs>
        <w:ind w:left="1353" w:hanging="360"/>
      </w:pPr>
      <w:rPr>
        <w:rFonts w:ascii="Wingdings" w:hAnsi="Wingdings"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3">
    <w:nsid w:val="355B2256"/>
    <w:multiLevelType w:val="hybridMultilevel"/>
    <w:tmpl w:val="04965A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8CF0B32"/>
    <w:multiLevelType w:val="hybridMultilevel"/>
    <w:tmpl w:val="61289CEE"/>
    <w:lvl w:ilvl="0" w:tplc="B1302306">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56A54A4C"/>
    <w:multiLevelType w:val="hybridMultilevel"/>
    <w:tmpl w:val="F7E839DA"/>
    <w:lvl w:ilvl="0" w:tplc="A2E4B1DC">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9A1220F"/>
    <w:multiLevelType w:val="hybridMultilevel"/>
    <w:tmpl w:val="A5BCBCA4"/>
    <w:lvl w:ilvl="0" w:tplc="4B36C1E2">
      <w:numFmt w:val="bullet"/>
      <w:lvlText w:val="-"/>
      <w:lvlJc w:val="left"/>
      <w:pPr>
        <w:tabs>
          <w:tab w:val="num" w:pos="1069"/>
        </w:tabs>
        <w:ind w:left="1069"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46B7FA7"/>
    <w:multiLevelType w:val="hybridMultilevel"/>
    <w:tmpl w:val="E22A157C"/>
    <w:lvl w:ilvl="0" w:tplc="B1302306">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2"/>
  </w:num>
  <w:num w:numId="4">
    <w:abstractNumId w:val="9"/>
  </w:num>
  <w:num w:numId="5">
    <w:abstractNumId w:val="8"/>
  </w:num>
  <w:num w:numId="6">
    <w:abstractNumId w:val="15"/>
  </w:num>
  <w:num w:numId="7">
    <w:abstractNumId w:val="11"/>
  </w:num>
  <w:num w:numId="8">
    <w:abstractNumId w:val="13"/>
  </w:num>
  <w:num w:numId="9">
    <w:abstractNumId w:val="10"/>
  </w:num>
  <w:num w:numId="10">
    <w:abstractNumId w:val="6"/>
  </w:num>
  <w:num w:numId="11">
    <w:abstractNumId w:val="10"/>
  </w:num>
  <w:num w:numId="12">
    <w:abstractNumId w:val="17"/>
  </w:num>
  <w:num w:numId="13">
    <w:abstractNumId w:val="14"/>
  </w:num>
  <w:num w:numId="14">
    <w:abstractNumId w:val="6"/>
  </w:num>
  <w:num w:numId="15">
    <w:abstractNumId w:val="8"/>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AD"/>
    <w:rsid w:val="00033CB0"/>
    <w:rsid w:val="00187677"/>
    <w:rsid w:val="001B5529"/>
    <w:rsid w:val="001D0719"/>
    <w:rsid w:val="001D21F1"/>
    <w:rsid w:val="001F49B3"/>
    <w:rsid w:val="00264ACF"/>
    <w:rsid w:val="00274408"/>
    <w:rsid w:val="00291DEF"/>
    <w:rsid w:val="002C56CF"/>
    <w:rsid w:val="002E5368"/>
    <w:rsid w:val="00317A3D"/>
    <w:rsid w:val="003525CC"/>
    <w:rsid w:val="00373258"/>
    <w:rsid w:val="00397FFC"/>
    <w:rsid w:val="004059ED"/>
    <w:rsid w:val="00462CEE"/>
    <w:rsid w:val="004711B9"/>
    <w:rsid w:val="004B7B8A"/>
    <w:rsid w:val="004C383B"/>
    <w:rsid w:val="004E1F9D"/>
    <w:rsid w:val="0054188F"/>
    <w:rsid w:val="00551527"/>
    <w:rsid w:val="00565581"/>
    <w:rsid w:val="005F4505"/>
    <w:rsid w:val="00643366"/>
    <w:rsid w:val="0067643B"/>
    <w:rsid w:val="006E189B"/>
    <w:rsid w:val="006F6A7F"/>
    <w:rsid w:val="00750B7B"/>
    <w:rsid w:val="007609DC"/>
    <w:rsid w:val="00777520"/>
    <w:rsid w:val="007868AC"/>
    <w:rsid w:val="007951F5"/>
    <w:rsid w:val="007B3ACD"/>
    <w:rsid w:val="008D1B0C"/>
    <w:rsid w:val="00946345"/>
    <w:rsid w:val="00996391"/>
    <w:rsid w:val="009C3AAA"/>
    <w:rsid w:val="009D3227"/>
    <w:rsid w:val="009D519D"/>
    <w:rsid w:val="00A036BD"/>
    <w:rsid w:val="00A2152B"/>
    <w:rsid w:val="00AB07E7"/>
    <w:rsid w:val="00AD6387"/>
    <w:rsid w:val="00B82360"/>
    <w:rsid w:val="00B8418D"/>
    <w:rsid w:val="00BA5FD2"/>
    <w:rsid w:val="00BC23B7"/>
    <w:rsid w:val="00BD5CCD"/>
    <w:rsid w:val="00BD5FB0"/>
    <w:rsid w:val="00D072F6"/>
    <w:rsid w:val="00D27C45"/>
    <w:rsid w:val="00D74068"/>
    <w:rsid w:val="00DC31E4"/>
    <w:rsid w:val="00DC7F89"/>
    <w:rsid w:val="00E24743"/>
    <w:rsid w:val="00E3209F"/>
    <w:rsid w:val="00E55655"/>
    <w:rsid w:val="00E56D02"/>
    <w:rsid w:val="00EA5922"/>
    <w:rsid w:val="00ED2DBD"/>
    <w:rsid w:val="00ED40AD"/>
    <w:rsid w:val="00F33125"/>
    <w:rsid w:val="00F8650B"/>
    <w:rsid w:val="00FA39E5"/>
    <w:rsid w:val="00FA4347"/>
    <w:rsid w:val="00FA752D"/>
    <w:rsid w:val="00FC3814"/>
    <w:rsid w:val="00FF11F4"/>
    <w:rsid w:val="00FF49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C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6387"/>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AD6387"/>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AD6387"/>
    <w:rPr>
      <w:rFonts w:ascii="Times" w:hAnsi="Times"/>
      <w:noProof/>
      <w:sz w:val="18"/>
      <w:lang w:val="it-IT" w:eastAsia="it-IT" w:bidi="ar-SA"/>
    </w:rPr>
  </w:style>
  <w:style w:type="paragraph" w:styleId="Testofumetto">
    <w:name w:val="Balloon Text"/>
    <w:basedOn w:val="Normale"/>
    <w:semiHidden/>
    <w:rsid w:val="00FA752D"/>
    <w:rPr>
      <w:rFonts w:ascii="Tahoma" w:hAnsi="Tahoma" w:cs="Tahoma"/>
      <w:sz w:val="16"/>
      <w:szCs w:val="16"/>
    </w:rPr>
  </w:style>
  <w:style w:type="character" w:customStyle="1" w:styleId="Titolo1Carattere">
    <w:name w:val="Titolo 1 Carattere"/>
    <w:basedOn w:val="Carpredefinitoparagrafo"/>
    <w:link w:val="Titolo1"/>
    <w:rsid w:val="0067643B"/>
    <w:rPr>
      <w:rFonts w:ascii="Times" w:hAnsi="Times"/>
      <w:b/>
      <w:noProof/>
    </w:rPr>
  </w:style>
  <w:style w:type="character" w:customStyle="1" w:styleId="Titolo2Carattere">
    <w:name w:val="Titolo 2 Carattere"/>
    <w:basedOn w:val="Carpredefinitoparagrafo"/>
    <w:link w:val="Titolo2"/>
    <w:rsid w:val="0067643B"/>
    <w:rPr>
      <w:rFonts w:ascii="Times" w:hAnsi="Times"/>
      <w:smallCaps/>
      <w:noProof/>
      <w:sz w:val="18"/>
    </w:rPr>
  </w:style>
  <w:style w:type="character" w:styleId="Collegamentoipertestuale">
    <w:name w:val="Hyperlink"/>
    <w:basedOn w:val="Carpredefinitoparagrafo"/>
    <w:uiPriority w:val="99"/>
    <w:unhideWhenUsed/>
    <w:rsid w:val="00FA4347"/>
    <w:rPr>
      <w:color w:val="0000FF"/>
      <w:u w:val="single"/>
    </w:rPr>
  </w:style>
  <w:style w:type="paragraph" w:customStyle="1" w:styleId="Paragrafoelenco1">
    <w:name w:val="Paragrafo elenco1"/>
    <w:basedOn w:val="Normale"/>
    <w:rsid w:val="004C383B"/>
    <w:pPr>
      <w:suppressAutoHyphens/>
      <w:ind w:left="720"/>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6387"/>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AD6387"/>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AD6387"/>
    <w:rPr>
      <w:rFonts w:ascii="Times" w:hAnsi="Times"/>
      <w:noProof/>
      <w:sz w:val="18"/>
      <w:lang w:val="it-IT" w:eastAsia="it-IT" w:bidi="ar-SA"/>
    </w:rPr>
  </w:style>
  <w:style w:type="paragraph" w:styleId="Testofumetto">
    <w:name w:val="Balloon Text"/>
    <w:basedOn w:val="Normale"/>
    <w:semiHidden/>
    <w:rsid w:val="00FA752D"/>
    <w:rPr>
      <w:rFonts w:ascii="Tahoma" w:hAnsi="Tahoma" w:cs="Tahoma"/>
      <w:sz w:val="16"/>
      <w:szCs w:val="16"/>
    </w:rPr>
  </w:style>
  <w:style w:type="character" w:customStyle="1" w:styleId="Titolo1Carattere">
    <w:name w:val="Titolo 1 Carattere"/>
    <w:basedOn w:val="Carpredefinitoparagrafo"/>
    <w:link w:val="Titolo1"/>
    <w:rsid w:val="0067643B"/>
    <w:rPr>
      <w:rFonts w:ascii="Times" w:hAnsi="Times"/>
      <w:b/>
      <w:noProof/>
    </w:rPr>
  </w:style>
  <w:style w:type="character" w:customStyle="1" w:styleId="Titolo2Carattere">
    <w:name w:val="Titolo 2 Carattere"/>
    <w:basedOn w:val="Carpredefinitoparagrafo"/>
    <w:link w:val="Titolo2"/>
    <w:rsid w:val="0067643B"/>
    <w:rPr>
      <w:rFonts w:ascii="Times" w:hAnsi="Times"/>
      <w:smallCaps/>
      <w:noProof/>
      <w:sz w:val="18"/>
    </w:rPr>
  </w:style>
  <w:style w:type="character" w:styleId="Collegamentoipertestuale">
    <w:name w:val="Hyperlink"/>
    <w:basedOn w:val="Carpredefinitoparagrafo"/>
    <w:uiPriority w:val="99"/>
    <w:unhideWhenUsed/>
    <w:rsid w:val="00FA4347"/>
    <w:rPr>
      <w:color w:val="0000FF"/>
      <w:u w:val="single"/>
    </w:rPr>
  </w:style>
  <w:style w:type="paragraph" w:customStyle="1" w:styleId="Paragrafoelenco1">
    <w:name w:val="Paragrafo elenco1"/>
    <w:basedOn w:val="Normale"/>
    <w:rsid w:val="004C383B"/>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742">
      <w:bodyDiv w:val="1"/>
      <w:marLeft w:val="0"/>
      <w:marRight w:val="0"/>
      <w:marTop w:val="0"/>
      <w:marBottom w:val="0"/>
      <w:divBdr>
        <w:top w:val="none" w:sz="0" w:space="0" w:color="auto"/>
        <w:left w:val="none" w:sz="0" w:space="0" w:color="auto"/>
        <w:bottom w:val="none" w:sz="0" w:space="0" w:color="auto"/>
        <w:right w:val="none" w:sz="0" w:space="0" w:color="auto"/>
      </w:divBdr>
    </w:div>
    <w:div w:id="12115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13</TotalTime>
  <Pages>4</Pages>
  <Words>882</Words>
  <Characters>5075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7</vt:lpstr>
    </vt:vector>
  </TitlesOfParts>
  <Company>U.C.S.C. MILANO</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paola.fiori</dc:creator>
  <cp:lastModifiedBy>Fiori Paola</cp:lastModifiedBy>
  <cp:revision>10</cp:revision>
  <cp:lastPrinted>2003-03-27T09:42:00Z</cp:lastPrinted>
  <dcterms:created xsi:type="dcterms:W3CDTF">2016-04-07T09:10:00Z</dcterms:created>
  <dcterms:modified xsi:type="dcterms:W3CDTF">2017-09-20T13:23:00Z</dcterms:modified>
</cp:coreProperties>
</file>