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B967" w14:textId="77777777" w:rsidR="00BD2EA6" w:rsidRPr="00DB3155" w:rsidRDefault="00BD2EA6" w:rsidP="00BD2EA6">
      <w:pPr>
        <w:pStyle w:val="Titolo1"/>
      </w:pPr>
      <w:r w:rsidRPr="00DB3155">
        <w:t xml:space="preserve">Economia </w:t>
      </w:r>
      <w:r>
        <w:t>del lavoro</w:t>
      </w:r>
      <w:r w:rsidRPr="00DB3155">
        <w:t xml:space="preserve"> e delle risorse umane</w:t>
      </w:r>
    </w:p>
    <w:p w14:paraId="00846FF3" w14:textId="77777777" w:rsidR="00BD2EA6" w:rsidRDefault="00BD2EA6" w:rsidP="00BD2EA6">
      <w:pPr>
        <w:pStyle w:val="Titolo2"/>
      </w:pPr>
      <w:r>
        <w:t xml:space="preserve">Prof. Flavia </w:t>
      </w:r>
      <w:r w:rsidRPr="00DB3155">
        <w:t>Cortelezzi</w:t>
      </w:r>
    </w:p>
    <w:p w14:paraId="73C77459" w14:textId="77777777" w:rsidR="002D5E17" w:rsidRDefault="00BD2EA6" w:rsidP="00BD2EA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5C76794" w14:textId="77777777" w:rsidR="00BD2EA6" w:rsidRPr="00DB3155" w:rsidRDefault="00BD2EA6" w:rsidP="006A625C">
      <w:pPr>
        <w:spacing w:line="240" w:lineRule="exact"/>
      </w:pPr>
      <w:r w:rsidRPr="00DB3155">
        <w:t>Il corso</w:t>
      </w:r>
      <w:r>
        <w:t xml:space="preserve"> si propone di fornire gli elementi fondamentali per la comprensione del funzionamento del mercato del lavoro.</w:t>
      </w:r>
    </w:p>
    <w:p w14:paraId="0DDD77B4" w14:textId="77777777" w:rsidR="00BD2EA6" w:rsidRPr="00DB3155" w:rsidRDefault="00BD2EA6" w:rsidP="006A625C">
      <w:pPr>
        <w:spacing w:line="240" w:lineRule="exact"/>
      </w:pPr>
      <w:r w:rsidRPr="00DB3155">
        <w:t>Nel corso delle lezioni, dopo aver definito i concetti fondamentali di occupazione, disoccupazione e inattività, verranno presentati i principali meccanismi di funzionamento del mercato del lavoro. Successivamente, verranno trattati i temi classici dell’economia delle risorse umane dal punto di vista dell’impresa. In particolare, verranno illustrati i meccanismi economici fondamentali che sottendono alla scelta del livello occupazionale, alla selezione dei lavoratori, ed i prin</w:t>
      </w:r>
      <w:r w:rsidR="006A625C">
        <w:t xml:space="preserve">cipali meccanismi retributivi. </w:t>
      </w:r>
      <w:r w:rsidRPr="00DB3155">
        <w:t>Si concluderà infine evidenziando le relazioni che sussistono con altre discipline.</w:t>
      </w:r>
    </w:p>
    <w:p w14:paraId="0445ED31" w14:textId="77777777" w:rsidR="00BD2EA6" w:rsidRPr="00DB3155" w:rsidRDefault="00BD2EA6" w:rsidP="006A625C">
      <w:pPr>
        <w:spacing w:line="240" w:lineRule="exact"/>
      </w:pPr>
      <w:r w:rsidRPr="00DB3155">
        <w:t>Al termine dell'insegnamento, lo studente sarà̀ in grado di comprendere il funzionamento del mercato in cui si trova ad operare la singola impresa con particolare riferimento alle strategie di prezzo e di produzione adottate e all’interazione strategica tra imprese.</w:t>
      </w:r>
    </w:p>
    <w:p w14:paraId="09A91824" w14:textId="77777777" w:rsidR="00BD2EA6" w:rsidRPr="00DB3155" w:rsidRDefault="00BD2EA6" w:rsidP="006A625C">
      <w:pPr>
        <w:spacing w:line="240" w:lineRule="exact"/>
      </w:pPr>
      <w:r w:rsidRPr="00DB3155">
        <w:t>Con riferimento al mercato del lavoro lo studente sarà in grado di comprendere le scelt</w:t>
      </w:r>
      <w:r>
        <w:t>e operate dalle singole imprese</w:t>
      </w:r>
      <w:r w:rsidRPr="00DB3155">
        <w:t xml:space="preserve"> in termini di gestione delle risorse umane nonché interpretare le principali dinamiche del mercato del lavoro a partire dai dati forniti dalle istituzioni.</w:t>
      </w:r>
    </w:p>
    <w:p w14:paraId="370FDE6B" w14:textId="77777777" w:rsidR="00BD2EA6" w:rsidRDefault="00BD2EA6" w:rsidP="00BD2EA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6D47154" w14:textId="77777777" w:rsidR="00BD2EA6" w:rsidRPr="00DB3155" w:rsidRDefault="00BD2EA6" w:rsidP="006A625C">
      <w:pPr>
        <w:spacing w:line="240" w:lineRule="exact"/>
        <w:ind w:left="284" w:hanging="284"/>
      </w:pPr>
      <w:r w:rsidRPr="00DB3155">
        <w:rPr>
          <w:sz w:val="18"/>
        </w:rPr>
        <w:t>1.</w:t>
      </w:r>
      <w:r w:rsidRPr="00DB3155">
        <w:rPr>
          <w:sz w:val="18"/>
        </w:rPr>
        <w:tab/>
      </w:r>
      <w:r w:rsidRPr="006A625C">
        <w:rPr>
          <w:i/>
        </w:rPr>
        <w:t>Il mercato del lavoro.</w:t>
      </w:r>
      <w:r w:rsidRPr="00DB3155">
        <w:t xml:space="preserve"> La disoccupazione: aspetti definitori. Le statistiche della disoccupazione in Italia e in Europa. I tipi di disoccupazione. Il tasso di disoccupazione stazionario. Applicazioni di politica economica: la curva di Philips in un confronto internazionale. Gli ammortizzatori sociali: strumenti di integrazione del reddito per i disoccupati e la legge Biagi.</w:t>
      </w:r>
    </w:p>
    <w:p w14:paraId="4F0CA823" w14:textId="77777777" w:rsidR="00BD2EA6" w:rsidRPr="00DB3155" w:rsidRDefault="00BD2EA6" w:rsidP="006A625C">
      <w:pPr>
        <w:spacing w:line="240" w:lineRule="exact"/>
        <w:ind w:left="284" w:hanging="284"/>
      </w:pPr>
      <w:r w:rsidRPr="00DB3155">
        <w:t>2.</w:t>
      </w:r>
      <w:r w:rsidRPr="00DB3155">
        <w:tab/>
      </w:r>
      <w:r w:rsidRPr="006A625C">
        <w:rPr>
          <w:i/>
        </w:rPr>
        <w:t>La domanda e l’offerta di lavoro.</w:t>
      </w:r>
      <w:r w:rsidRPr="00DB3155">
        <w:t xml:space="preserve"> I fatti stilizzati. La decisione di occupazione delle imprese nel breve e nel lungo periodo. La costru</w:t>
      </w:r>
      <w:r w:rsidR="006A625C">
        <w:t xml:space="preserve">zione della domanda di lavoro. </w:t>
      </w:r>
      <w:r w:rsidRPr="00DB3155">
        <w:t>La costruzione della curva di offerta di lavoro. L’offerta di lavoro nel ciclo vitale.</w:t>
      </w:r>
    </w:p>
    <w:p w14:paraId="339B3409" w14:textId="77777777" w:rsidR="00BD2EA6" w:rsidRPr="00DB3155" w:rsidRDefault="00BD2EA6" w:rsidP="006A625C">
      <w:pPr>
        <w:spacing w:line="240" w:lineRule="exact"/>
        <w:ind w:left="284" w:hanging="284"/>
      </w:pPr>
      <w:r w:rsidRPr="00DB3155">
        <w:t>3.</w:t>
      </w:r>
      <w:r w:rsidRPr="00DB3155">
        <w:tab/>
      </w:r>
      <w:r w:rsidRPr="006A625C">
        <w:rPr>
          <w:i/>
        </w:rPr>
        <w:t>L’equilibrio nel mercato del lavoro.</w:t>
      </w:r>
      <w:r w:rsidRPr="00DB3155">
        <w:t xml:space="preserve"> Equilibrio in un unico mercato del lavoro concorrenziale e applicazioni di politica economica. L’equilibrio concorrenziale tra mercati del lavoro e implicazioni di politica economica: l’immigrazione. </w:t>
      </w:r>
    </w:p>
    <w:p w14:paraId="642817A2" w14:textId="77777777" w:rsidR="00BD2EA6" w:rsidRPr="00DB3155" w:rsidRDefault="00BD2EA6" w:rsidP="006A625C">
      <w:pPr>
        <w:spacing w:line="240" w:lineRule="exact"/>
        <w:ind w:left="284" w:hanging="284"/>
      </w:pPr>
      <w:r w:rsidRPr="00DB3155">
        <w:lastRenderedPageBreak/>
        <w:t>4.</w:t>
      </w:r>
      <w:r w:rsidRPr="00DB3155">
        <w:tab/>
      </w:r>
      <w:r w:rsidRPr="006A625C">
        <w:rPr>
          <w:i/>
        </w:rPr>
        <w:t>Dentro l'impresa:</w:t>
      </w:r>
      <w:r w:rsidRPr="00DB3155">
        <w:t xml:space="preserve"> informazione e processo di assunzione. Come attrarre i candidati migliori? Il processo di selezione. Le tipologie contrattuali.</w:t>
      </w:r>
    </w:p>
    <w:p w14:paraId="711F7DF0" w14:textId="77777777" w:rsidR="00BD2EA6" w:rsidRPr="00DB3155" w:rsidRDefault="00BD2EA6" w:rsidP="006A625C">
      <w:pPr>
        <w:spacing w:line="240" w:lineRule="exact"/>
        <w:ind w:left="284" w:hanging="284"/>
      </w:pPr>
      <w:r w:rsidRPr="00DB3155">
        <w:t>5.</w:t>
      </w:r>
      <w:r w:rsidRPr="00DB3155">
        <w:tab/>
      </w:r>
      <w:r w:rsidRPr="006A625C">
        <w:rPr>
          <w:i/>
        </w:rPr>
        <w:t>Economia del personale.</w:t>
      </w:r>
      <w:r w:rsidRPr="00DB3155">
        <w:t xml:space="preserve"> I sistemi di retribuzione: retribuzioni legate alla performance e salario orario. La contrattazione salariale in Italia: i sindacati e la contrattazione collettiva. I sistemi di carriera: bonus e profit sharing. Incentivi e retribuzione differita. Applicazioni di politica economica: </w:t>
      </w:r>
      <w:r w:rsidR="006A625C">
        <w:t xml:space="preserve">la retribuzione dei dirigenti. </w:t>
      </w:r>
      <w:r w:rsidRPr="00DB3155">
        <w:t>I salari di efficienza.</w:t>
      </w:r>
    </w:p>
    <w:p w14:paraId="602F4317" w14:textId="77777777" w:rsidR="00BD2EA6" w:rsidRPr="00DB3155" w:rsidRDefault="00BD2EA6" w:rsidP="006A625C">
      <w:pPr>
        <w:spacing w:after="120" w:line="240" w:lineRule="exact"/>
        <w:ind w:left="284" w:hanging="284"/>
      </w:pPr>
      <w:r w:rsidRPr="00DB3155">
        <w:t>6.</w:t>
      </w:r>
      <w:r w:rsidRPr="00DB3155">
        <w:tab/>
      </w:r>
      <w:r w:rsidRPr="006A625C">
        <w:rPr>
          <w:i/>
        </w:rPr>
        <w:t>Il confronto con altre discipline.</w:t>
      </w:r>
      <w:r w:rsidRPr="00DB3155">
        <w:t xml:space="preserve"> Il punto di vista della sociologia. Le relazioni con economia e diritto.</w:t>
      </w:r>
    </w:p>
    <w:p w14:paraId="102DC092" w14:textId="2AE3F75D" w:rsidR="00BD2EA6" w:rsidRPr="006A625C" w:rsidRDefault="00BD2EA6" w:rsidP="006A62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45073">
        <w:rPr>
          <w:rStyle w:val="Rimandonotaapidipagina"/>
          <w:b/>
          <w:i/>
          <w:sz w:val="18"/>
        </w:rPr>
        <w:footnoteReference w:id="1"/>
      </w:r>
    </w:p>
    <w:p w14:paraId="46415424" w14:textId="77777777" w:rsidR="00BD2EA6" w:rsidRPr="00DB3155" w:rsidRDefault="00BD2EA6" w:rsidP="00BD2EA6">
      <w:pPr>
        <w:pStyle w:val="Testo1"/>
      </w:pPr>
      <w:r w:rsidRPr="00DB3155">
        <w:t xml:space="preserve">I riferimenti bibliografici saranno comunicati all’inizio del corso; accanto a testi di riferimento specifici, materiale di studio complementare sarà reso disponibile su </w:t>
      </w:r>
      <w:r w:rsidRPr="00BD2EA6">
        <w:rPr>
          <w:i/>
        </w:rPr>
        <w:t>Blackboard</w:t>
      </w:r>
      <w:r w:rsidRPr="00DB3155">
        <w:t xml:space="preserve"> e nel corso delle lezioni stesse.</w:t>
      </w:r>
    </w:p>
    <w:p w14:paraId="5345BE45" w14:textId="77777777" w:rsidR="00BD2EA6" w:rsidRDefault="00BD2EA6" w:rsidP="00BD2E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A14B10" w14:textId="77777777" w:rsidR="00BD2EA6" w:rsidRDefault="00BD2EA6" w:rsidP="00BD2EA6">
      <w:pPr>
        <w:pStyle w:val="Testo2"/>
      </w:pPr>
      <w:r w:rsidRPr="00DB3155">
        <w:t>Lezioni frontali in aula, esercizi svolti in aula, case studies.</w:t>
      </w:r>
    </w:p>
    <w:p w14:paraId="07C9712B" w14:textId="77777777" w:rsidR="00BD2EA6" w:rsidRDefault="00BD2EA6" w:rsidP="00BD2EA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607359E" w14:textId="77777777" w:rsidR="00BD2EA6" w:rsidRPr="00BD2EA6" w:rsidRDefault="00BD2EA6" w:rsidP="00BD2EA6">
      <w:pPr>
        <w:pStyle w:val="Testo2"/>
      </w:pPr>
      <w:r w:rsidRPr="00BD2EA6">
        <w:t xml:space="preserve">L’esame è in forma scritta e verte su tutte le parti del corso svolte a lezione e sui riferimenti bibliografici che saranno indicati. </w:t>
      </w:r>
    </w:p>
    <w:p w14:paraId="6DA0D4AC" w14:textId="77777777" w:rsidR="00BD2EA6" w:rsidRPr="00BD2EA6" w:rsidRDefault="00BD2EA6" w:rsidP="00BD2EA6">
      <w:pPr>
        <w:pStyle w:val="Testo2"/>
      </w:pPr>
      <w:r w:rsidRPr="00BD2EA6">
        <w:t>L’esame si articolerà in un numero previsto di tre domande, a scelta dello studente su quattro proposte. Per superare l’esame sarà necessario ottenere un risultato sufficiente (maggiore o uguale a 18).</w:t>
      </w:r>
    </w:p>
    <w:p w14:paraId="4E0BC85D" w14:textId="77777777" w:rsidR="00BD2EA6" w:rsidRPr="00BD2EA6" w:rsidRDefault="00BD2EA6" w:rsidP="00BD2EA6">
      <w:pPr>
        <w:pStyle w:val="Testo2"/>
      </w:pPr>
      <w:r w:rsidRPr="00BD2EA6">
        <w:t>Complessivamente si intende valutare la pertinenza delle risposte, la comprensione e padronanza dei temi trattati unitamente alla capacità di sintesi e di declinazione su casi specifici, l’uso appropriato della terminologia specifica, la capacità di argomentare e confrontarsi su temi di attualità legati alle tematiche del corso.</w:t>
      </w:r>
    </w:p>
    <w:p w14:paraId="3512779F" w14:textId="77777777" w:rsidR="00BD2EA6" w:rsidRDefault="00BD2EA6" w:rsidP="00BD2EA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083CE74" w14:textId="77777777" w:rsidR="00BD2EA6" w:rsidRDefault="00BD2EA6" w:rsidP="00BD2EA6">
      <w:pPr>
        <w:pStyle w:val="Testo2"/>
      </w:pPr>
      <w:r w:rsidRPr="00DB3155">
        <w:t>Non ci sono specifici prerequisiti relativi ai contenuti e il corso è aperto a tutti coloro che siano interessati ad acquisire gli elementi fondamentali dei modelli economici relativi all’impresa e al mercato del lavoro. Una conoscenza di base di concetti di micro e macroeconomia tuttavia può risultare mlto utile.</w:t>
      </w:r>
    </w:p>
    <w:p w14:paraId="770783F2" w14:textId="77777777" w:rsidR="00BD2EA6" w:rsidRPr="006A625C" w:rsidRDefault="006A625C" w:rsidP="006A625C">
      <w:pPr>
        <w:pStyle w:val="Testo1"/>
        <w:ind w:firstLine="0"/>
        <w:rPr>
          <w:i/>
        </w:rPr>
      </w:pPr>
      <w:r w:rsidRPr="006A625C">
        <w:rPr>
          <w:i/>
        </w:rPr>
        <w:t xml:space="preserve">Orario e luogo di ricevimento </w:t>
      </w:r>
    </w:p>
    <w:p w14:paraId="765DBFD7" w14:textId="77777777" w:rsidR="00BD2EA6" w:rsidRPr="00BD2EA6" w:rsidRDefault="006A625C" w:rsidP="00BD2EA6">
      <w:pPr>
        <w:pStyle w:val="Testo2"/>
      </w:pPr>
      <w:r>
        <w:t>Il</w:t>
      </w:r>
      <w:r w:rsidR="00BD2EA6" w:rsidRPr="00BD2EA6">
        <w:t xml:space="preserve"> Prof. Flavia Cortelezzi comunicherà a lezione orario e luogo per il ricevimento degli studenti.</w:t>
      </w:r>
    </w:p>
    <w:sectPr w:rsidR="00BD2EA6" w:rsidRPr="00BD2EA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DD69" w14:textId="77777777" w:rsidR="00ED2393" w:rsidRDefault="00ED2393" w:rsidP="00ED2393">
      <w:pPr>
        <w:spacing w:line="240" w:lineRule="auto"/>
      </w:pPr>
      <w:r>
        <w:separator/>
      </w:r>
    </w:p>
  </w:endnote>
  <w:endnote w:type="continuationSeparator" w:id="0">
    <w:p w14:paraId="6C728BEA" w14:textId="77777777" w:rsidR="00ED2393" w:rsidRDefault="00ED2393" w:rsidP="00ED2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8EB9" w14:textId="77777777" w:rsidR="00ED2393" w:rsidRDefault="00ED2393" w:rsidP="00ED2393">
      <w:pPr>
        <w:spacing w:line="240" w:lineRule="auto"/>
      </w:pPr>
      <w:r>
        <w:separator/>
      </w:r>
    </w:p>
  </w:footnote>
  <w:footnote w:type="continuationSeparator" w:id="0">
    <w:p w14:paraId="38B33324" w14:textId="77777777" w:rsidR="00ED2393" w:rsidRDefault="00ED2393" w:rsidP="00ED2393">
      <w:pPr>
        <w:spacing w:line="240" w:lineRule="auto"/>
      </w:pPr>
      <w:r>
        <w:continuationSeparator/>
      </w:r>
    </w:p>
  </w:footnote>
  <w:footnote w:id="1">
    <w:p w14:paraId="06956B01" w14:textId="31E23D21" w:rsidR="00B45073" w:rsidRDefault="00B450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EA6"/>
    <w:rsid w:val="00187B99"/>
    <w:rsid w:val="002014DD"/>
    <w:rsid w:val="002D5E17"/>
    <w:rsid w:val="004D1217"/>
    <w:rsid w:val="004D6008"/>
    <w:rsid w:val="00640794"/>
    <w:rsid w:val="0066076E"/>
    <w:rsid w:val="006A625C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45073"/>
    <w:rsid w:val="00B50C5D"/>
    <w:rsid w:val="00B51253"/>
    <w:rsid w:val="00B525CC"/>
    <w:rsid w:val="00BD2EA6"/>
    <w:rsid w:val="00D404F2"/>
    <w:rsid w:val="00E019C3"/>
    <w:rsid w:val="00E607E6"/>
    <w:rsid w:val="00E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B11A6"/>
  <w15:docId w15:val="{E0C9CBD2-A51D-4E7C-BF9E-C463151D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D239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2393"/>
  </w:style>
  <w:style w:type="character" w:styleId="Rimandonotaapidipagina">
    <w:name w:val="footnote reference"/>
    <w:basedOn w:val="Carpredefinitoparagrafo"/>
    <w:rsid w:val="00ED2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4BC07-C8A0-49BD-A6A0-48D09EFC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2019-05-30T14:14:00Z</dcterms:created>
  <dcterms:modified xsi:type="dcterms:W3CDTF">2023-07-04T11:41:00Z</dcterms:modified>
</cp:coreProperties>
</file>