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2F2E" w14:textId="5C66A9D6" w:rsidR="00690F7F" w:rsidRPr="007A7417" w:rsidRDefault="00690F7F" w:rsidP="00F762DF">
      <w:pPr>
        <w:pStyle w:val="Titolo1"/>
        <w:spacing w:before="0"/>
        <w:rPr>
          <w:rFonts w:ascii="Times New Roman" w:hAnsi="Times New Roman"/>
        </w:rPr>
      </w:pPr>
      <w:r w:rsidRPr="007A7417">
        <w:rPr>
          <w:rFonts w:ascii="Times New Roman" w:hAnsi="Times New Roman"/>
        </w:rPr>
        <w:t>Criminologia e giustizia penale</w:t>
      </w:r>
    </w:p>
    <w:p w14:paraId="7789C004" w14:textId="77777777" w:rsidR="00690F7F" w:rsidRPr="007A7417" w:rsidRDefault="00690F7F" w:rsidP="00690F7F">
      <w:pPr>
        <w:pStyle w:val="Titolo2"/>
        <w:rPr>
          <w:rFonts w:ascii="Times New Roman" w:hAnsi="Times New Roman"/>
        </w:rPr>
      </w:pPr>
      <w:r w:rsidRPr="007A7417">
        <w:rPr>
          <w:rFonts w:ascii="Times New Roman" w:hAnsi="Times New Roman"/>
        </w:rPr>
        <w:t>Prof. Marina Mancuso; Prof. Francesco Calderoni</w:t>
      </w:r>
    </w:p>
    <w:p w14:paraId="7A983E27" w14:textId="77777777" w:rsidR="00690F7F" w:rsidRPr="007A7417" w:rsidRDefault="00690F7F" w:rsidP="00690F7F">
      <w:pPr>
        <w:tabs>
          <w:tab w:val="clear" w:pos="284"/>
        </w:tabs>
        <w:spacing w:before="240" w:after="120" w:line="240" w:lineRule="auto"/>
        <w:outlineLvl w:val="0"/>
        <w:rPr>
          <w:rFonts w:eastAsia="Cambria"/>
          <w:szCs w:val="20"/>
          <w:lang w:eastAsia="en-US"/>
        </w:rPr>
      </w:pPr>
      <w:r w:rsidRPr="007A7417">
        <w:rPr>
          <w:rFonts w:eastAsia="Cambria"/>
          <w:smallCaps/>
          <w:sz w:val="18"/>
          <w:szCs w:val="20"/>
          <w:lang w:eastAsia="en-US"/>
        </w:rPr>
        <w:t>I Modulo</w:t>
      </w:r>
      <w:r w:rsidRPr="007A7417">
        <w:rPr>
          <w:rFonts w:eastAsia="Cambria"/>
          <w:sz w:val="18"/>
          <w:szCs w:val="20"/>
          <w:lang w:eastAsia="en-US"/>
        </w:rPr>
        <w:t>:</w:t>
      </w:r>
      <w:r w:rsidRPr="007A7417">
        <w:rPr>
          <w:rFonts w:eastAsia="Cambria"/>
          <w:i/>
          <w:sz w:val="18"/>
          <w:szCs w:val="20"/>
          <w:lang w:eastAsia="en-US"/>
        </w:rPr>
        <w:t xml:space="preserve"> </w:t>
      </w:r>
      <w:r w:rsidRPr="007A7417">
        <w:rPr>
          <w:rFonts w:eastAsia="Cambria"/>
          <w:i/>
          <w:szCs w:val="20"/>
          <w:lang w:eastAsia="en-US"/>
        </w:rPr>
        <w:t xml:space="preserve">Criminologia </w:t>
      </w:r>
      <w:r w:rsidRPr="007A7417">
        <w:rPr>
          <w:rFonts w:eastAsia="Cambria"/>
          <w:szCs w:val="20"/>
          <w:lang w:eastAsia="en-US"/>
        </w:rPr>
        <w:t>(Prof. Marina Mancuso)</w:t>
      </w:r>
    </w:p>
    <w:p w14:paraId="3D95632B" w14:textId="77777777" w:rsidR="00690F7F" w:rsidRDefault="00690F7F" w:rsidP="00690F7F">
      <w:pPr>
        <w:spacing w:before="240" w:after="120"/>
        <w:rPr>
          <w:b/>
          <w:sz w:val="18"/>
        </w:rPr>
      </w:pPr>
      <w:r>
        <w:rPr>
          <w:b/>
          <w:i/>
          <w:sz w:val="18"/>
        </w:rPr>
        <w:t>OBIETTIVO DEL CORSO E RISULTATI DI APPRENDIMENTO ATTESI</w:t>
      </w:r>
    </w:p>
    <w:p w14:paraId="270A2BFC" w14:textId="69948FDF" w:rsidR="00690F7F" w:rsidRPr="00D2527F" w:rsidRDefault="0060706D" w:rsidP="00AC332E">
      <w:pPr>
        <w:ind w:firstLine="284"/>
        <w:rPr>
          <w:rFonts w:eastAsia="Calibri"/>
          <w:lang w:eastAsia="en-US"/>
        </w:rPr>
      </w:pPr>
      <w:r>
        <w:rPr>
          <w:rFonts w:eastAsia="Calibri"/>
          <w:lang w:eastAsia="en-US"/>
        </w:rPr>
        <w:t xml:space="preserve">Il modulo di </w:t>
      </w:r>
      <w:r w:rsidRPr="0060706D">
        <w:rPr>
          <w:rFonts w:eastAsia="Calibri"/>
          <w:i/>
          <w:lang w:eastAsia="en-US"/>
        </w:rPr>
        <w:t>Criminologia</w:t>
      </w:r>
      <w:r>
        <w:rPr>
          <w:rFonts w:eastAsia="Calibri"/>
          <w:lang w:eastAsia="en-US"/>
        </w:rPr>
        <w:t xml:space="preserve"> </w:t>
      </w:r>
      <w:r w:rsidR="00690F7F" w:rsidRPr="00D2527F">
        <w:rPr>
          <w:rFonts w:eastAsia="Calibri"/>
          <w:lang w:eastAsia="en-US"/>
        </w:rPr>
        <w:t>ha l’obiettivo di introdurre gli studenti alla conoscenza dei comportamenti devianti e criminali. In particolare, il modulo è dedicato alla presentazione e all’analisi critica delle principali teorie criminologiche che si propongono di comprendere le cause della delinquenza e della devianza. Per ciascuna teoria saranno presentati i concetti chiave, il contesto storico ed intellettuale di riferimento e le im</w:t>
      </w:r>
      <w:r w:rsidR="00CF41C1">
        <w:rPr>
          <w:rFonts w:eastAsia="Calibri"/>
          <w:lang w:eastAsia="en-US"/>
        </w:rPr>
        <w:t>plicazioni politiche e sociali.</w:t>
      </w:r>
    </w:p>
    <w:p w14:paraId="4C462156" w14:textId="08FCBF2E" w:rsidR="00690F7F" w:rsidRPr="00D2527F" w:rsidRDefault="00690F7F" w:rsidP="00AC332E">
      <w:pPr>
        <w:ind w:firstLine="284"/>
        <w:rPr>
          <w:rFonts w:eastAsia="Calibri"/>
          <w:lang w:eastAsia="en-US"/>
        </w:rPr>
      </w:pPr>
      <w:r w:rsidRPr="00D2527F">
        <w:rPr>
          <w:rFonts w:eastAsia="Calibri"/>
          <w:lang w:eastAsia="en-US"/>
        </w:rPr>
        <w:t>Al termine del modulo, lo studente conoscerà le nozioni fondamentali delle diverse teorie criminologiche e sarà in grad</w:t>
      </w:r>
      <w:r w:rsidR="007A7417">
        <w:rPr>
          <w:rFonts w:eastAsia="Calibri"/>
          <w:lang w:eastAsia="en-US"/>
        </w:rPr>
        <w:t xml:space="preserve">o di comprendere e analizzare </w:t>
      </w:r>
      <w:r w:rsidR="00CF41C1">
        <w:rPr>
          <w:rFonts w:eastAsia="Calibri"/>
          <w:lang w:eastAsia="en-US"/>
        </w:rPr>
        <w:t>i comportamenti devianti e criminali</w:t>
      </w:r>
      <w:r w:rsidRPr="00D2527F">
        <w:rPr>
          <w:rFonts w:eastAsia="Calibri"/>
          <w:lang w:eastAsia="en-US"/>
        </w:rPr>
        <w:t xml:space="preserve"> alla luce di queste teorie.</w:t>
      </w:r>
    </w:p>
    <w:p w14:paraId="3979C253" w14:textId="77777777" w:rsidR="00690F7F" w:rsidRPr="007A7417" w:rsidRDefault="00690F7F" w:rsidP="00690F7F">
      <w:pPr>
        <w:spacing w:before="240" w:after="120"/>
        <w:rPr>
          <w:rFonts w:eastAsia="Calibri"/>
          <w:b/>
          <w:sz w:val="18"/>
          <w:lang w:eastAsia="en-US"/>
        </w:rPr>
      </w:pPr>
      <w:r w:rsidRPr="007A7417">
        <w:rPr>
          <w:rFonts w:eastAsia="Calibri"/>
          <w:b/>
          <w:i/>
          <w:sz w:val="18"/>
          <w:lang w:eastAsia="en-US"/>
        </w:rPr>
        <w:t>PROGRAMMA DEL CORSO</w:t>
      </w:r>
    </w:p>
    <w:p w14:paraId="0F20BB14" w14:textId="77777777" w:rsidR="00690F7F" w:rsidRPr="007A7417" w:rsidRDefault="00690F7F" w:rsidP="00720827">
      <w:pPr>
        <w:pStyle w:val="Paragrafoelenco"/>
        <w:numPr>
          <w:ilvl w:val="0"/>
          <w:numId w:val="4"/>
        </w:numPr>
        <w:tabs>
          <w:tab w:val="clear" w:pos="284"/>
        </w:tabs>
        <w:spacing w:line="240" w:lineRule="auto"/>
        <w:ind w:left="284" w:hanging="284"/>
        <w:rPr>
          <w:i/>
          <w:szCs w:val="18"/>
        </w:rPr>
      </w:pPr>
      <w:r w:rsidRPr="007A7417">
        <w:rPr>
          <w:i/>
          <w:szCs w:val="18"/>
        </w:rPr>
        <w:t>Introduzione al modulo e alla valutazione</w:t>
      </w:r>
    </w:p>
    <w:p w14:paraId="75B5A855" w14:textId="18629E6F" w:rsidR="00690F7F"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Quadro concettuale e definizioni di devianza e criminalità</w:t>
      </w:r>
    </w:p>
    <w:p w14:paraId="1A64BA9B" w14:textId="4784C464" w:rsidR="0003685C" w:rsidRPr="007A7417" w:rsidRDefault="0003685C" w:rsidP="00720827">
      <w:pPr>
        <w:pStyle w:val="Paragrafoelenco"/>
        <w:numPr>
          <w:ilvl w:val="0"/>
          <w:numId w:val="4"/>
        </w:numPr>
        <w:tabs>
          <w:tab w:val="clear" w:pos="284"/>
        </w:tabs>
        <w:spacing w:before="120" w:line="240" w:lineRule="auto"/>
        <w:ind w:left="284" w:hanging="284"/>
        <w:contextualSpacing w:val="0"/>
        <w:rPr>
          <w:i/>
          <w:szCs w:val="18"/>
        </w:rPr>
      </w:pPr>
      <w:r>
        <w:rPr>
          <w:i/>
          <w:szCs w:val="18"/>
        </w:rPr>
        <w:t>Criminologia come disciplina scientifica e principali metodi di ricerca</w:t>
      </w:r>
    </w:p>
    <w:p w14:paraId="5507BC50" w14:textId="77777777" w:rsidR="00690F7F" w:rsidRPr="007A7417"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Principali teorie criminologiche e loro implicazioni</w:t>
      </w:r>
    </w:p>
    <w:p w14:paraId="24D03795"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Scuola Classica</w:t>
      </w:r>
    </w:p>
    <w:p w14:paraId="62F125E5"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Scuola Positiva</w:t>
      </w:r>
    </w:p>
    <w:p w14:paraId="5847A911"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biologiche</w:t>
      </w:r>
    </w:p>
    <w:p w14:paraId="502DDA13"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psicologiche</w:t>
      </w:r>
    </w:p>
    <w:p w14:paraId="0A13F022"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sociologiche</w:t>
      </w:r>
    </w:p>
    <w:p w14:paraId="39F00B0A" w14:textId="77777777" w:rsidR="00690F7F" w:rsidRPr="007A7417" w:rsidRDefault="00690F7F" w:rsidP="00720827">
      <w:pPr>
        <w:pStyle w:val="Paragrafoelenco"/>
        <w:numPr>
          <w:ilvl w:val="1"/>
          <w:numId w:val="4"/>
        </w:numPr>
        <w:tabs>
          <w:tab w:val="clear" w:pos="284"/>
        </w:tabs>
        <w:spacing w:line="240" w:lineRule="auto"/>
        <w:ind w:left="284" w:hanging="284"/>
        <w:contextualSpacing w:val="0"/>
        <w:rPr>
          <w:szCs w:val="18"/>
        </w:rPr>
      </w:pPr>
      <w:r w:rsidRPr="007A7417">
        <w:rPr>
          <w:szCs w:val="18"/>
        </w:rPr>
        <w:t>Teorie razionali</w:t>
      </w:r>
    </w:p>
    <w:p w14:paraId="792EC221" w14:textId="77777777" w:rsidR="00690F7F" w:rsidRPr="007A7417" w:rsidRDefault="00690F7F" w:rsidP="00720827">
      <w:pPr>
        <w:pStyle w:val="Paragrafoelenco"/>
        <w:numPr>
          <w:ilvl w:val="0"/>
          <w:numId w:val="4"/>
        </w:numPr>
        <w:tabs>
          <w:tab w:val="clear" w:pos="284"/>
        </w:tabs>
        <w:spacing w:before="120" w:line="240" w:lineRule="auto"/>
        <w:ind w:left="284" w:hanging="284"/>
        <w:contextualSpacing w:val="0"/>
        <w:rPr>
          <w:i/>
          <w:szCs w:val="18"/>
        </w:rPr>
      </w:pPr>
      <w:r w:rsidRPr="007A7417">
        <w:rPr>
          <w:i/>
          <w:szCs w:val="18"/>
        </w:rPr>
        <w:t>Presentazione di casi studio e approfondimenti</w:t>
      </w:r>
    </w:p>
    <w:p w14:paraId="11DA5FE8" w14:textId="2DCF624C" w:rsidR="00690F7F" w:rsidRPr="005F16A6" w:rsidRDefault="00690F7F" w:rsidP="00690F7F">
      <w:pPr>
        <w:spacing w:before="240" w:after="120"/>
        <w:rPr>
          <w:rFonts w:eastAsia="Calibri"/>
          <w:b/>
          <w:i/>
          <w:sz w:val="18"/>
          <w:lang w:eastAsia="en-US"/>
        </w:rPr>
      </w:pPr>
      <w:r w:rsidRPr="005F16A6">
        <w:rPr>
          <w:rFonts w:eastAsia="Calibri"/>
          <w:b/>
          <w:i/>
          <w:sz w:val="18"/>
          <w:lang w:eastAsia="en-US"/>
        </w:rPr>
        <w:t>BIBLIOGRAFIA</w:t>
      </w:r>
      <w:r w:rsidR="007C0D93">
        <w:rPr>
          <w:rStyle w:val="Rimandonotaapidipagina"/>
          <w:rFonts w:eastAsia="Calibri"/>
          <w:b/>
          <w:i/>
          <w:sz w:val="18"/>
          <w:lang w:eastAsia="en-US"/>
        </w:rPr>
        <w:footnoteReference w:id="1"/>
      </w:r>
    </w:p>
    <w:p w14:paraId="7DAE764A" w14:textId="77777777" w:rsidR="0060706D" w:rsidRPr="003664E0" w:rsidRDefault="0060706D" w:rsidP="0060706D">
      <w:pPr>
        <w:pStyle w:val="Testo1"/>
        <w:spacing w:before="0"/>
      </w:pPr>
      <w:r w:rsidRPr="002C7D67">
        <w:t>Gli studenti sono tenuti a familiarizzare con il sistema bibliotecario e ad essere in grado di recuperare la bibliografia in modo autonomo</w:t>
      </w:r>
      <w:r w:rsidRPr="003664E0">
        <w:t xml:space="preserve">. I materiali non reperibili presso la biblioteca </w:t>
      </w:r>
      <w:r>
        <w:t xml:space="preserve">o in rete </w:t>
      </w:r>
      <w:r w:rsidRPr="003664E0">
        <w:t xml:space="preserve">saranno messi a disposizione </w:t>
      </w:r>
      <w:r>
        <w:t>sulla piattaforma</w:t>
      </w:r>
      <w:r w:rsidRPr="003664E0">
        <w:t xml:space="preserve"> </w:t>
      </w:r>
      <w:r w:rsidRPr="003664E0">
        <w:rPr>
          <w:i/>
        </w:rPr>
        <w:t>Blackboard</w:t>
      </w:r>
      <w:r w:rsidRPr="003664E0">
        <w:t xml:space="preserve">. </w:t>
      </w:r>
    </w:p>
    <w:p w14:paraId="24A9B627" w14:textId="28FCFCBB" w:rsidR="00690F7F" w:rsidRDefault="001F419E" w:rsidP="00545343">
      <w:pPr>
        <w:pStyle w:val="Testo1"/>
        <w:spacing w:before="0"/>
      </w:pPr>
      <w:r w:rsidRPr="00881A83">
        <w:t xml:space="preserve">La bibliografia aggiornata sarà fornita all’inizio del corso tramite </w:t>
      </w:r>
      <w:r w:rsidRPr="00881A83">
        <w:rPr>
          <w:i/>
        </w:rPr>
        <w:t>Blackboard</w:t>
      </w:r>
      <w:r w:rsidRPr="00881A83">
        <w:t>. A titolo informativo si riporta la bibliografia per l’a.a. 20</w:t>
      </w:r>
      <w:r w:rsidR="00881A83">
        <w:t>2</w:t>
      </w:r>
      <w:r w:rsidR="0060706D">
        <w:t>2</w:t>
      </w:r>
      <w:r w:rsidRPr="00881A83">
        <w:t>-202</w:t>
      </w:r>
      <w:r w:rsidR="0060706D">
        <w:t>3</w:t>
      </w:r>
      <w:r w:rsidRPr="00881A83">
        <w:t>:</w:t>
      </w:r>
    </w:p>
    <w:p w14:paraId="03A116C2" w14:textId="625DC2AA" w:rsidR="00887636" w:rsidRPr="00887636" w:rsidRDefault="00887636" w:rsidP="00545343">
      <w:pPr>
        <w:pStyle w:val="Testo1"/>
        <w:spacing w:before="0"/>
        <w:rPr>
          <w:smallCaps/>
        </w:rPr>
      </w:pPr>
      <w:r w:rsidRPr="00887636">
        <w:rPr>
          <w:smallCaps/>
        </w:rPr>
        <w:t>Barbagli, Colombo e Savona</w:t>
      </w:r>
      <w:r>
        <w:rPr>
          <w:smallCaps/>
        </w:rPr>
        <w:t xml:space="preserve">. </w:t>
      </w:r>
      <w:r>
        <w:rPr>
          <w:i/>
        </w:rPr>
        <w:t xml:space="preserve">Sociologia della devianza. </w:t>
      </w:r>
      <w:r w:rsidRPr="00887636">
        <w:t>Bologna, Il Mulino, 2003 (in biblioteca). Da pagina 14 a pagina 24.</w:t>
      </w:r>
      <w:r w:rsidR="007C0D93">
        <w:t xml:space="preserve"> </w:t>
      </w:r>
      <w:hyperlink r:id="rId8" w:history="1">
        <w:r w:rsidR="007C0D93" w:rsidRPr="007C0D93">
          <w:rPr>
            <w:rStyle w:val="Collegamentoipertestuale"/>
            <w:rFonts w:ascii="Times New Roman" w:hAnsi="Times New Roman"/>
            <w:i/>
            <w:szCs w:val="18"/>
          </w:rPr>
          <w:t>Acquista da VP</w:t>
        </w:r>
      </w:hyperlink>
    </w:p>
    <w:p w14:paraId="1DBDA933" w14:textId="74D56982" w:rsidR="00690F7F" w:rsidRPr="00881A83" w:rsidRDefault="0055748D" w:rsidP="00545343">
      <w:pPr>
        <w:pStyle w:val="Testo1"/>
        <w:spacing w:before="0"/>
      </w:pPr>
      <w:r w:rsidRPr="00881A83">
        <w:rPr>
          <w:smallCaps/>
        </w:rPr>
        <w:lastRenderedPageBreak/>
        <w:t>F. Prina</w:t>
      </w:r>
      <w:r w:rsidRPr="00881A83">
        <w:t xml:space="preserve">, </w:t>
      </w:r>
      <w:r w:rsidR="00690F7F" w:rsidRPr="00881A83">
        <w:rPr>
          <w:i/>
        </w:rPr>
        <w:t>Devianza e criminalità. Concetti, metodi di ricerca, cause, politiche.</w:t>
      </w:r>
      <w:r w:rsidR="00690F7F" w:rsidRPr="00881A83">
        <w:t xml:space="preserve"> Roma</w:t>
      </w:r>
      <w:r w:rsidR="00720827" w:rsidRPr="00881A83">
        <w:t>,</w:t>
      </w:r>
      <w:r w:rsidR="00690F7F" w:rsidRPr="00881A83">
        <w:t xml:space="preserve"> Carocci</w:t>
      </w:r>
      <w:r w:rsidR="00720827" w:rsidRPr="00881A83">
        <w:t>,</w:t>
      </w:r>
      <w:r w:rsidR="00690F7F" w:rsidRPr="00881A83">
        <w:t xml:space="preserve"> editore. 2019 (in biblioteca). </w:t>
      </w:r>
      <w:r w:rsidR="00690F7F" w:rsidRPr="00881A83">
        <w:rPr>
          <w:i/>
        </w:rPr>
        <w:t>Solo Capitolo 1 e Capitolo 2.</w:t>
      </w:r>
      <w:r w:rsidR="007C0D93">
        <w:rPr>
          <w:i/>
        </w:rPr>
        <w:t xml:space="preserve"> </w:t>
      </w:r>
      <w:hyperlink r:id="rId9" w:history="1">
        <w:r w:rsidR="007C0D93" w:rsidRPr="007C0D93">
          <w:rPr>
            <w:rStyle w:val="Collegamentoipertestuale"/>
            <w:rFonts w:ascii="Times New Roman" w:hAnsi="Times New Roman"/>
            <w:i/>
            <w:szCs w:val="18"/>
          </w:rPr>
          <w:t>Acquista da VP</w:t>
        </w:r>
      </w:hyperlink>
    </w:p>
    <w:p w14:paraId="1010BCE5" w14:textId="581E3D3F" w:rsidR="00690F7F" w:rsidRDefault="0055748D" w:rsidP="00545343">
      <w:pPr>
        <w:pStyle w:val="Testo1"/>
        <w:spacing w:before="0"/>
      </w:pPr>
      <w:r w:rsidRPr="00881A83">
        <w:rPr>
          <w:smallCaps/>
        </w:rPr>
        <w:t>F.P. Williams-</w:t>
      </w:r>
      <w:r w:rsidR="00690F7F" w:rsidRPr="00881A83">
        <w:rPr>
          <w:smallCaps/>
        </w:rPr>
        <w:t>M</w:t>
      </w:r>
      <w:r w:rsidRPr="00881A83">
        <w:rPr>
          <w:smallCaps/>
        </w:rPr>
        <w:t>.</w:t>
      </w:r>
      <w:r w:rsidR="00690F7F" w:rsidRPr="00881A83">
        <w:rPr>
          <w:smallCaps/>
        </w:rPr>
        <w:t>D. McShane</w:t>
      </w:r>
      <w:r w:rsidR="00690F7F" w:rsidRPr="00881A83">
        <w:t xml:space="preserve">. </w:t>
      </w:r>
      <w:r w:rsidR="00690F7F" w:rsidRPr="00881A83">
        <w:rPr>
          <w:i/>
        </w:rPr>
        <w:t>Devianza e criminalità</w:t>
      </w:r>
      <w:r w:rsidR="00690F7F" w:rsidRPr="00881A83">
        <w:t xml:space="preserve">. </w:t>
      </w:r>
      <w:r w:rsidR="00720827" w:rsidRPr="00881A83">
        <w:t>Bologna,</w:t>
      </w:r>
      <w:r w:rsidR="00690F7F" w:rsidRPr="00881A83">
        <w:t xml:space="preserve"> Il Mulino</w:t>
      </w:r>
      <w:r w:rsidR="00720827" w:rsidRPr="00881A83">
        <w:t>,</w:t>
      </w:r>
      <w:r w:rsidR="00690F7F" w:rsidRPr="00881A83">
        <w:t xml:space="preserve"> 2002 (in biblioteca).</w:t>
      </w:r>
      <w:r w:rsidR="007C0D93">
        <w:t xml:space="preserve"> </w:t>
      </w:r>
      <w:hyperlink r:id="rId10" w:history="1">
        <w:r w:rsidR="007C0D93" w:rsidRPr="007C0D93">
          <w:rPr>
            <w:rStyle w:val="Collegamentoipertestuale"/>
            <w:rFonts w:ascii="Times New Roman" w:hAnsi="Times New Roman"/>
            <w:i/>
            <w:szCs w:val="18"/>
          </w:rPr>
          <w:t>Acquista da VP</w:t>
        </w:r>
      </w:hyperlink>
    </w:p>
    <w:p w14:paraId="6D2B513A" w14:textId="77777777" w:rsidR="00690F7F" w:rsidRDefault="00690F7F" w:rsidP="00690F7F">
      <w:pPr>
        <w:spacing w:before="240" w:after="120" w:line="220" w:lineRule="exact"/>
        <w:rPr>
          <w:b/>
          <w:i/>
          <w:sz w:val="18"/>
        </w:rPr>
      </w:pPr>
      <w:r>
        <w:rPr>
          <w:b/>
          <w:i/>
          <w:sz w:val="18"/>
        </w:rPr>
        <w:t>DIDATTICA DEL CORSO</w:t>
      </w:r>
    </w:p>
    <w:p w14:paraId="31D810D3" w14:textId="17A2081B" w:rsidR="00690F7F" w:rsidRPr="00545343" w:rsidRDefault="00690F7F" w:rsidP="00545343">
      <w:pPr>
        <w:pStyle w:val="Testo2"/>
      </w:pPr>
      <w:r w:rsidRPr="00545343">
        <w:t>Lezioni frontali, esempi pratici, lezioni interattive sulle tecniche di scrittura per l’elaborazione del paper da parte degli studenti.</w:t>
      </w:r>
    </w:p>
    <w:p w14:paraId="490A3C5A" w14:textId="77777777" w:rsidR="00690F7F" w:rsidRDefault="00690F7F" w:rsidP="00690F7F">
      <w:pPr>
        <w:spacing w:before="240" w:after="120" w:line="220" w:lineRule="exact"/>
        <w:rPr>
          <w:b/>
          <w:i/>
          <w:sz w:val="18"/>
        </w:rPr>
      </w:pPr>
      <w:r>
        <w:rPr>
          <w:b/>
          <w:i/>
          <w:sz w:val="18"/>
        </w:rPr>
        <w:t>METODO E CRITERI DI VALUTAZIONE</w:t>
      </w:r>
    </w:p>
    <w:p w14:paraId="28BA3066" w14:textId="77777777" w:rsidR="00690F7F" w:rsidRPr="003664E0" w:rsidRDefault="00690F7F" w:rsidP="00545343">
      <w:pPr>
        <w:pStyle w:val="Testo2"/>
      </w:pPr>
      <w:r w:rsidRPr="003664E0">
        <w:t>Per gli studenti di ogni Facoltà e corso di laurea l’esame è composto da due prove:</w:t>
      </w:r>
    </w:p>
    <w:p w14:paraId="09DF7B85" w14:textId="399D432A" w:rsidR="00690F7F" w:rsidRPr="003664E0" w:rsidRDefault="00690F7F" w:rsidP="00176E42">
      <w:pPr>
        <w:pStyle w:val="Testo2"/>
        <w:numPr>
          <w:ilvl w:val="0"/>
          <w:numId w:val="17"/>
        </w:numPr>
      </w:pPr>
      <w:r w:rsidRPr="003664E0">
        <w:t>Elaborazione di un paper descrittivo (punti da 0 a 16)</w:t>
      </w:r>
      <w:r w:rsidR="003664E0">
        <w:t>;</w:t>
      </w:r>
    </w:p>
    <w:p w14:paraId="5D925536" w14:textId="7ABA0088" w:rsidR="00690F7F" w:rsidRPr="003664E0" w:rsidRDefault="003664E0" w:rsidP="00176E42">
      <w:pPr>
        <w:pStyle w:val="Testo2"/>
        <w:numPr>
          <w:ilvl w:val="0"/>
          <w:numId w:val="17"/>
        </w:numPr>
      </w:pPr>
      <w:r>
        <w:t>Prova scritta</w:t>
      </w:r>
      <w:r w:rsidR="00690F7F" w:rsidRPr="003664E0">
        <w:t xml:space="preserve"> (2 domande aperte, con possibilità di scegliere tra 4 </w:t>
      </w:r>
      <w:r>
        <w:t>domande</w:t>
      </w:r>
      <w:r w:rsidR="00690F7F" w:rsidRPr="003664E0">
        <w:t>, punti da 0 a 16). Tutte le domande dell’esame scritto avranno uguale peso e saranno valutate con un punteggio da 0 (in caso si mancata risposta) a 8 punti (in caso di risposta ineccepibile).</w:t>
      </w:r>
    </w:p>
    <w:p w14:paraId="7C0B42CE" w14:textId="23E43ED5" w:rsidR="00690F7F" w:rsidRPr="003664E0" w:rsidRDefault="00690F7F" w:rsidP="00545343">
      <w:pPr>
        <w:pStyle w:val="Testo2"/>
      </w:pPr>
      <w:r w:rsidRPr="003664E0">
        <w:t xml:space="preserve">Il voto finale </w:t>
      </w:r>
      <w:r w:rsidR="000A5A98" w:rsidRPr="003664E0">
        <w:t xml:space="preserve">del </w:t>
      </w:r>
      <w:r w:rsidR="00F462D0">
        <w:t>modulo</w:t>
      </w:r>
      <w:r w:rsidR="000A5A98" w:rsidRPr="003664E0">
        <w:t xml:space="preserve"> </w:t>
      </w:r>
      <w:r w:rsidRPr="003664E0">
        <w:t xml:space="preserve">è dato dalla somma dei punti conseguiti nel paper e </w:t>
      </w:r>
      <w:r w:rsidR="003664E0">
        <w:t>nella prova scritta</w:t>
      </w:r>
      <w:r w:rsidRPr="003664E0">
        <w:t>.</w:t>
      </w:r>
      <w:r w:rsidR="000A5A98" w:rsidRPr="003664E0">
        <w:t xml:space="preserve"> </w:t>
      </w:r>
      <w:r w:rsidRPr="003664E0">
        <w:t xml:space="preserve">Punteggi superiori a 30 corrispondono a un voto di 30 e lode. </w:t>
      </w:r>
    </w:p>
    <w:p w14:paraId="570EE387" w14:textId="77777777" w:rsidR="00690F7F" w:rsidRPr="003664E0" w:rsidRDefault="00690F7F" w:rsidP="00545343">
      <w:pPr>
        <w:pStyle w:val="Testo2"/>
      </w:pPr>
      <w:r w:rsidRPr="003664E0">
        <w:t xml:space="preserve">Nel paper gli studenti dovranno dimostrare di saper svolgere in autonomia un breve elaborato (massimo 9.000 caratteri spazi inclusi tutto il documento) scegliendo tra uno dei titoli proposti dal docente. I criteri di valutazione saranno principalmente la correttezza e l’adeguatezza del linguaggio, la completezza dei riferimenti bibliografici, l’uso corretto delle fonti, la strutturazione argomentata e coerente. </w:t>
      </w:r>
    </w:p>
    <w:p w14:paraId="713B9445" w14:textId="5F2B63A6" w:rsidR="00690F7F" w:rsidRDefault="00690F7F" w:rsidP="00545343">
      <w:pPr>
        <w:pStyle w:val="Testo2"/>
      </w:pPr>
      <w:r w:rsidRPr="003664E0">
        <w:t>Nell’esame scritto gli studenti dovranno dimostrare di conoscere i concetti chiave delle teorie oltre che di saperle analizzare in modo critico. I criteri di valutazione saranno: la correttezza dei contenuti, l’organizzazione logica delle risposte, la chiarezza concettuale ed espositiva, la capacità di sintesi, l’uso appropriato della terminologia specifica, il senso critico.</w:t>
      </w:r>
    </w:p>
    <w:p w14:paraId="1E9AB99D" w14:textId="51637FCB" w:rsidR="005D487E" w:rsidRDefault="00545343" w:rsidP="00545343">
      <w:pPr>
        <w:pStyle w:val="Testo2"/>
      </w:pPr>
      <w:r>
        <w:t xml:space="preserve">È </w:t>
      </w:r>
      <w:r w:rsidR="005D487E" w:rsidRPr="00D61F0C">
        <w:t xml:space="preserve">prevista la possibilità di fare un preappello alla fine del primo semestre (tra gennaio e febbraio) per consentire agli studenti di sostenere l’esame relativo </w:t>
      </w:r>
      <w:r w:rsidR="00F462D0">
        <w:t>al modulo</w:t>
      </w:r>
      <w:r w:rsidR="005D487E" w:rsidRPr="00D61F0C">
        <w:t xml:space="preserve"> prima dell’inizio della sessione</w:t>
      </w:r>
      <w:r w:rsidR="00F462D0">
        <w:t xml:space="preserve"> ufficiale di esami (giugno 2024</w:t>
      </w:r>
      <w:r w:rsidR="005D487E" w:rsidRPr="00D61F0C">
        <w:t xml:space="preserve">). </w:t>
      </w:r>
    </w:p>
    <w:p w14:paraId="150694F5" w14:textId="77777777" w:rsidR="00F462D0" w:rsidRDefault="005D487E" w:rsidP="00545343">
      <w:pPr>
        <w:pStyle w:val="Testo2"/>
      </w:pPr>
      <w:r w:rsidRPr="00D61F0C">
        <w:t>La prova d’esame dell’intero insegnamento comprende le prove finali di entrambi i moduli (Mod.1 e Mod. 2), da sostenersi con esito positivo nello stesso appello</w:t>
      </w:r>
      <w:r w:rsidR="00F462D0">
        <w:t xml:space="preserve">, salvo le seguenti eccezioni: </w:t>
      </w:r>
    </w:p>
    <w:p w14:paraId="0DC75317" w14:textId="77777777" w:rsidR="00F462D0" w:rsidRDefault="005D487E" w:rsidP="00545343">
      <w:pPr>
        <w:pStyle w:val="Testo2"/>
        <w:rPr>
          <w:lang w:eastAsia="en-GB"/>
        </w:rPr>
      </w:pPr>
      <w:r w:rsidRPr="00D61F0C">
        <w:rPr>
          <w:lang w:eastAsia="en-GB"/>
        </w:rPr>
        <w:t xml:space="preserve">a) Gli studenti in corso (che hanno acquisito la frequenza nell’a.a. di erogazione del corso) che hanno superato la prova del </w:t>
      </w:r>
      <w:r w:rsidR="00CB6579" w:rsidRPr="00D61F0C">
        <w:rPr>
          <w:lang w:eastAsia="en-GB"/>
        </w:rPr>
        <w:t>M</w:t>
      </w:r>
      <w:r w:rsidRPr="00D61F0C">
        <w:rPr>
          <w:lang w:eastAsia="en-GB"/>
        </w:rPr>
        <w:t>odulo 1 durante il preappello</w:t>
      </w:r>
      <w:r w:rsidR="00F462D0">
        <w:rPr>
          <w:lang w:eastAsia="en-GB"/>
        </w:rPr>
        <w:t xml:space="preserve"> potranno </w:t>
      </w:r>
      <w:r w:rsidRPr="00D61F0C">
        <w:rPr>
          <w:lang w:eastAsia="en-GB"/>
        </w:rPr>
        <w:t xml:space="preserve">sostenere solo la prova del </w:t>
      </w:r>
      <w:r w:rsidR="00CB6579" w:rsidRPr="00D61F0C">
        <w:rPr>
          <w:lang w:eastAsia="en-GB"/>
        </w:rPr>
        <w:t>M</w:t>
      </w:r>
      <w:r w:rsidRPr="00D61F0C">
        <w:rPr>
          <w:lang w:eastAsia="en-GB"/>
        </w:rPr>
        <w:t xml:space="preserve">odulo 2 negli appelli di giugno-luglio; </w:t>
      </w:r>
    </w:p>
    <w:p w14:paraId="59B386F7" w14:textId="0816E857" w:rsidR="005D487E" w:rsidRDefault="005D487E" w:rsidP="00545343">
      <w:pPr>
        <w:pStyle w:val="Testo2"/>
        <w:rPr>
          <w:lang w:eastAsia="en-GB"/>
        </w:rPr>
      </w:pPr>
      <w:r w:rsidRPr="00D61F0C">
        <w:rPr>
          <w:lang w:eastAsia="en-GB"/>
        </w:rPr>
        <w:t xml:space="preserve">b) Gli studenti in corso possono sostenere le </w:t>
      </w:r>
      <w:r w:rsidR="00F462D0">
        <w:rPr>
          <w:lang w:eastAsia="en-GB"/>
        </w:rPr>
        <w:t xml:space="preserve">due </w:t>
      </w:r>
      <w:r w:rsidRPr="00D61F0C">
        <w:rPr>
          <w:lang w:eastAsia="en-GB"/>
        </w:rPr>
        <w:t xml:space="preserve">prove finali </w:t>
      </w:r>
      <w:r w:rsidR="00CB6579" w:rsidRPr="00D61F0C">
        <w:rPr>
          <w:lang w:eastAsia="en-GB"/>
        </w:rPr>
        <w:t xml:space="preserve">relative ai due Moduli </w:t>
      </w:r>
      <w:r w:rsidRPr="00D61F0C">
        <w:rPr>
          <w:lang w:eastAsia="en-GB"/>
        </w:rPr>
        <w:t xml:space="preserve">in appelli separati </w:t>
      </w:r>
      <w:r w:rsidR="00CB6579" w:rsidRPr="00D61F0C">
        <w:rPr>
          <w:lang w:eastAsia="en-GB"/>
        </w:rPr>
        <w:t>n</w:t>
      </w:r>
      <w:r w:rsidRPr="00D61F0C">
        <w:rPr>
          <w:lang w:eastAsia="en-GB"/>
        </w:rPr>
        <w:t xml:space="preserve">ella </w:t>
      </w:r>
      <w:r w:rsidR="00CB6579" w:rsidRPr="00D61F0C">
        <w:rPr>
          <w:lang w:eastAsia="en-GB"/>
        </w:rPr>
        <w:t xml:space="preserve">sola </w:t>
      </w:r>
      <w:r w:rsidRPr="00D61F0C">
        <w:rPr>
          <w:lang w:eastAsia="en-GB"/>
        </w:rPr>
        <w:t>sessione di esami di giugno-luglio, purché entrambe le prove siano superate</w:t>
      </w:r>
      <w:r w:rsidR="00CB6579" w:rsidRPr="00D61F0C">
        <w:rPr>
          <w:lang w:eastAsia="en-GB"/>
        </w:rPr>
        <w:t xml:space="preserve"> entro la fine della sessione</w:t>
      </w:r>
      <w:r w:rsidRPr="00D61F0C">
        <w:rPr>
          <w:lang w:eastAsia="en-GB"/>
        </w:rPr>
        <w:t>.</w:t>
      </w:r>
      <w:r w:rsidRPr="00CB6579">
        <w:rPr>
          <w:lang w:eastAsia="en-GB"/>
        </w:rPr>
        <w:t xml:space="preserve"> </w:t>
      </w:r>
    </w:p>
    <w:p w14:paraId="53B65956" w14:textId="619CAE2D" w:rsidR="00DA39A9" w:rsidRDefault="0079671A" w:rsidP="00545343">
      <w:pPr>
        <w:pStyle w:val="Testo2"/>
      </w:pPr>
      <w:r w:rsidRPr="00CB6579">
        <w:t>Il</w:t>
      </w:r>
      <w:r w:rsidR="00F462D0">
        <w:t xml:space="preserve"> voto finale dell’insegnamento sarà</w:t>
      </w:r>
      <w:r w:rsidRPr="00CB6579">
        <w:t xml:space="preserve"> determinato dalla media aritmetica delle prove dei due moduli, a condizione che in entrambi si sia riportato un voto pari o superiore a 18. A tal fine, 30 e lode corrisponde a 31. La media </w:t>
      </w:r>
      <w:r w:rsidR="00F462D0">
        <w:t>sarà</w:t>
      </w:r>
      <w:r w:rsidRPr="00CB6579">
        <w:t xml:space="preserve"> arrotondata per eccesso.</w:t>
      </w:r>
      <w:r w:rsidR="00985F13" w:rsidRPr="00CB6579">
        <w:t xml:space="preserve"> </w:t>
      </w:r>
    </w:p>
    <w:p w14:paraId="15B4204B" w14:textId="39191F04" w:rsidR="00690F7F" w:rsidRDefault="00690F7F" w:rsidP="00690F7F">
      <w:pPr>
        <w:spacing w:before="240" w:after="120"/>
        <w:rPr>
          <w:b/>
          <w:i/>
          <w:noProof/>
          <w:sz w:val="18"/>
        </w:rPr>
      </w:pPr>
      <w:r>
        <w:rPr>
          <w:b/>
          <w:i/>
          <w:noProof/>
          <w:sz w:val="18"/>
        </w:rPr>
        <w:t>AVVERTENZE E PREREQUISITI</w:t>
      </w:r>
    </w:p>
    <w:p w14:paraId="3A478F39" w14:textId="58A0BDCC" w:rsidR="00690F7F" w:rsidRPr="00545343" w:rsidRDefault="00690F7F" w:rsidP="00545343">
      <w:pPr>
        <w:pStyle w:val="Testo2"/>
      </w:pPr>
      <w:r w:rsidRPr="00545343">
        <w:lastRenderedPageBreak/>
        <w:t>La frequenza è altamente consigliata in considerazione della natura specialistica e in costante cambiamento degli argomenti. Ogni anno il programma è aggiornato per tenere il passo con le nuove teorie.</w:t>
      </w:r>
      <w:r w:rsidR="003664E0" w:rsidRPr="00545343">
        <w:t xml:space="preserve"> Per questo motivo gli studenti che non hanno superato la prova entro gli otto appelli previsti (da giugno a febbraio dell’anno successivo a quello di frequenza) dovranno attenersi al programma e alle modalità di esame del corso erogato nell’a.a. successivo.</w:t>
      </w:r>
    </w:p>
    <w:p w14:paraId="664E5D77" w14:textId="77777777" w:rsidR="00690F7F" w:rsidRPr="00545343" w:rsidRDefault="00690F7F" w:rsidP="00545343">
      <w:pPr>
        <w:pStyle w:val="Testo2"/>
      </w:pPr>
      <w:r w:rsidRPr="00545343">
        <w:t>Programma aggiornato, bibliografia, istruzioni e altri documenti saranno pubblicati sulla pagina Blackboard del corso. La pagina Blackboard sarà anche lo strumento per comunicare cambi di orari, informazioni sugli esami e altro.</w:t>
      </w:r>
    </w:p>
    <w:p w14:paraId="67647D50" w14:textId="2C7CBB23" w:rsidR="00690F7F" w:rsidRPr="00545343" w:rsidRDefault="00690F7F" w:rsidP="00545343">
      <w:pPr>
        <w:pStyle w:val="Testo2"/>
      </w:pPr>
      <w:r w:rsidRPr="00545343">
        <w:t>Tutti gli studenti (frequentanti e non, in corso e fuori corso) sono invitati ad iscriversi al corso Blackboard e a tenersi aggiornati.</w:t>
      </w:r>
    </w:p>
    <w:p w14:paraId="32971A16" w14:textId="5DDA26E6" w:rsidR="00B073DF" w:rsidRPr="00545343" w:rsidRDefault="00690F7F" w:rsidP="00545343">
      <w:pPr>
        <w:pStyle w:val="Testo2"/>
      </w:pPr>
      <w:r w:rsidRPr="00545343">
        <w:t>Avendo carattere introduttivo, il modulo non necessita di prerequisiti relativi ai contenuti.</w:t>
      </w:r>
    </w:p>
    <w:p w14:paraId="470B115A" w14:textId="303F7811" w:rsidR="00690F7F" w:rsidRPr="00545343" w:rsidRDefault="0055748D" w:rsidP="00545343">
      <w:pPr>
        <w:pStyle w:val="Testo2"/>
        <w:spacing w:before="120"/>
        <w:rPr>
          <w:i/>
          <w:iCs/>
        </w:rPr>
      </w:pPr>
      <w:r w:rsidRPr="00545343">
        <w:rPr>
          <w:i/>
          <w:iCs/>
        </w:rPr>
        <w:t>Orario e luogo di ricevimento</w:t>
      </w:r>
    </w:p>
    <w:p w14:paraId="0EA59226" w14:textId="5E050936" w:rsidR="00690F7F" w:rsidRPr="00545343" w:rsidRDefault="00690F7F" w:rsidP="00545343">
      <w:pPr>
        <w:pStyle w:val="Testo2"/>
      </w:pPr>
      <w:r w:rsidRPr="00545343">
        <w:t>Il Prof. Marina Mancuso riceve gli studenti su appuntamento presso l'Ufficio di Transcrime (Via San Vittore 43</w:t>
      </w:r>
      <w:r w:rsidR="00AC332E" w:rsidRPr="00545343">
        <w:t>, piano interrato</w:t>
      </w:r>
      <w:r w:rsidRPr="00545343">
        <w:t>)</w:t>
      </w:r>
      <w:r w:rsidR="003664E0" w:rsidRPr="00545343">
        <w:t xml:space="preserve"> o in modalità telematica</w:t>
      </w:r>
      <w:r w:rsidRPr="00545343">
        <w:t xml:space="preserve">. Per fissare un appuntamento contattare il docente via e-mail all’indirizzo: </w:t>
      </w:r>
      <w:hyperlink r:id="rId11" w:history="1">
        <w:r w:rsidRPr="00545343">
          <w:t>marina.mancuso@unicatt.it</w:t>
        </w:r>
      </w:hyperlink>
      <w:r w:rsidRPr="00545343">
        <w:t xml:space="preserve">. </w:t>
      </w:r>
    </w:p>
    <w:p w14:paraId="00E4773A" w14:textId="77777777" w:rsidR="00690F7F" w:rsidRPr="00C11B1D" w:rsidRDefault="00690F7F" w:rsidP="00AF484B">
      <w:pPr>
        <w:tabs>
          <w:tab w:val="clear" w:pos="284"/>
        </w:tabs>
        <w:spacing w:before="360" w:after="120" w:line="240" w:lineRule="auto"/>
        <w:outlineLvl w:val="0"/>
        <w:rPr>
          <w:rFonts w:ascii="Times" w:eastAsia="Cambria" w:hAnsi="Times" w:cs="Times"/>
          <w:szCs w:val="20"/>
          <w:lang w:eastAsia="en-US"/>
        </w:rPr>
      </w:pPr>
      <w:r w:rsidRPr="005F16A6">
        <w:rPr>
          <w:rFonts w:ascii="Times" w:eastAsia="Cambria" w:hAnsi="Times" w:cs="Times"/>
          <w:smallCaps/>
          <w:sz w:val="18"/>
          <w:szCs w:val="20"/>
          <w:lang w:eastAsia="en-US"/>
        </w:rPr>
        <w:t>II Modulo</w:t>
      </w:r>
      <w:r w:rsidRPr="005F16A6">
        <w:rPr>
          <w:rFonts w:ascii="Times" w:eastAsia="Cambria" w:hAnsi="Times" w:cs="Times"/>
          <w:sz w:val="18"/>
          <w:szCs w:val="20"/>
          <w:lang w:eastAsia="en-US"/>
        </w:rPr>
        <w:t>:</w:t>
      </w:r>
      <w:r w:rsidRPr="005F16A6">
        <w:rPr>
          <w:rFonts w:ascii="Times" w:eastAsia="Cambria" w:hAnsi="Times" w:cs="Times"/>
          <w:i/>
          <w:sz w:val="18"/>
          <w:szCs w:val="20"/>
          <w:lang w:eastAsia="en-US"/>
        </w:rPr>
        <w:t xml:space="preserve"> </w:t>
      </w:r>
      <w:r w:rsidRPr="00C11B1D">
        <w:rPr>
          <w:rFonts w:ascii="Times" w:eastAsia="Cambria" w:hAnsi="Times" w:cs="Times"/>
          <w:i/>
          <w:szCs w:val="20"/>
          <w:lang w:eastAsia="en-US"/>
        </w:rPr>
        <w:t xml:space="preserve">Giustizia penale </w:t>
      </w:r>
      <w:r w:rsidRPr="00C11B1D">
        <w:rPr>
          <w:rFonts w:ascii="Times" w:eastAsia="Cambria" w:hAnsi="Times" w:cs="Times"/>
          <w:szCs w:val="20"/>
          <w:lang w:eastAsia="en-US"/>
        </w:rPr>
        <w:t>(Prof. Francesco Calderoni)</w:t>
      </w:r>
    </w:p>
    <w:p w14:paraId="57BEA11E" w14:textId="77777777" w:rsidR="00690F7F" w:rsidRDefault="00690F7F" w:rsidP="00690F7F">
      <w:pPr>
        <w:spacing w:before="240" w:after="120"/>
        <w:rPr>
          <w:b/>
          <w:noProof/>
          <w:sz w:val="18"/>
        </w:rPr>
      </w:pPr>
      <w:r w:rsidRPr="00F724E8">
        <w:rPr>
          <w:b/>
          <w:i/>
          <w:noProof/>
          <w:sz w:val="18"/>
        </w:rPr>
        <w:t xml:space="preserve">OBIETTIVO DEL CORSO </w:t>
      </w:r>
      <w:r w:rsidRPr="00F724E8">
        <w:rPr>
          <w:b/>
          <w:i/>
          <w:sz w:val="18"/>
        </w:rPr>
        <w:t>E RISULTATI DI APPRENDIMENTO ATTESI</w:t>
      </w:r>
    </w:p>
    <w:p w14:paraId="4737ECD1" w14:textId="7778F7EF" w:rsidR="00690F7F" w:rsidRPr="007A5953" w:rsidRDefault="00690F7F" w:rsidP="00545343">
      <w:pPr>
        <w:rPr>
          <w:rFonts w:eastAsia="Calibri"/>
          <w:lang w:eastAsia="en-US"/>
        </w:rPr>
      </w:pPr>
      <w:r w:rsidRPr="007A5953">
        <w:rPr>
          <w:rFonts w:eastAsia="Calibri"/>
          <w:lang w:eastAsia="en-US"/>
        </w:rPr>
        <w:t xml:space="preserve">Il modulo </w:t>
      </w:r>
      <w:r w:rsidR="00143435">
        <w:rPr>
          <w:rFonts w:eastAsia="Calibri"/>
          <w:lang w:eastAsia="en-US"/>
        </w:rPr>
        <w:t xml:space="preserve">di </w:t>
      </w:r>
      <w:r w:rsidR="00143435" w:rsidRPr="00143435">
        <w:rPr>
          <w:rFonts w:eastAsia="Calibri"/>
          <w:i/>
          <w:iCs/>
          <w:lang w:eastAsia="en-US"/>
        </w:rPr>
        <w:t>Giustizia penale</w:t>
      </w:r>
      <w:r w:rsidR="00143435">
        <w:rPr>
          <w:rFonts w:eastAsia="Calibri"/>
          <w:lang w:eastAsia="en-US"/>
        </w:rPr>
        <w:t xml:space="preserve"> </w:t>
      </w:r>
      <w:r w:rsidRPr="007A5953">
        <w:rPr>
          <w:rFonts w:eastAsia="Calibri"/>
          <w:lang w:eastAsia="en-US"/>
        </w:rPr>
        <w:t>mira ad analizzare i principali aspetti del sistema di giustizia penale italiano</w:t>
      </w:r>
      <w:r w:rsidR="002C7D67">
        <w:rPr>
          <w:rFonts w:eastAsia="Calibri"/>
          <w:lang w:eastAsia="en-US"/>
        </w:rPr>
        <w:t xml:space="preserve">, che comprendono il </w:t>
      </w:r>
      <w:r w:rsidRPr="007A5953">
        <w:rPr>
          <w:rFonts w:eastAsia="Calibri"/>
          <w:lang w:eastAsia="en-US"/>
        </w:rPr>
        <w:t xml:space="preserve">sistema di polizia, </w:t>
      </w:r>
      <w:r w:rsidR="002C7D67">
        <w:rPr>
          <w:rFonts w:eastAsia="Calibri"/>
          <w:lang w:eastAsia="en-US"/>
        </w:rPr>
        <w:t xml:space="preserve">il </w:t>
      </w:r>
      <w:r w:rsidRPr="007A5953">
        <w:rPr>
          <w:rFonts w:eastAsia="Calibri"/>
          <w:lang w:eastAsia="en-US"/>
        </w:rPr>
        <w:t>sistema giudiziario penale,</w:t>
      </w:r>
      <w:r w:rsidR="002C7D67">
        <w:rPr>
          <w:rFonts w:eastAsia="Calibri"/>
          <w:lang w:eastAsia="en-US"/>
        </w:rPr>
        <w:t xml:space="preserve"> e il</w:t>
      </w:r>
      <w:r w:rsidRPr="007A5953">
        <w:rPr>
          <w:rFonts w:eastAsia="Calibri"/>
          <w:lang w:eastAsia="en-US"/>
        </w:rPr>
        <w:t xml:space="preserve"> sistema sanzionatorio</w:t>
      </w:r>
      <w:r w:rsidR="002C7D67">
        <w:rPr>
          <w:rFonts w:eastAsia="Calibri"/>
          <w:lang w:eastAsia="en-US"/>
        </w:rPr>
        <w:t xml:space="preserve"> penale. Inoltre, si adotterà una prospettiva comparata con altri sistemi di giustizia penale.</w:t>
      </w:r>
    </w:p>
    <w:p w14:paraId="4784E8F7" w14:textId="77777777" w:rsidR="00690F7F" w:rsidRPr="007A5953" w:rsidRDefault="00690F7F" w:rsidP="00545343">
      <w:pPr>
        <w:rPr>
          <w:rFonts w:eastAsia="Calibri"/>
          <w:lang w:eastAsia="en-US"/>
        </w:rPr>
      </w:pPr>
      <w:r w:rsidRPr="007A5953">
        <w:rPr>
          <w:rFonts w:eastAsia="Calibri"/>
          <w:lang w:eastAsia="en-US"/>
        </w:rPr>
        <w:t xml:space="preserve">Al termine del modulo, lo studente conoscerà la struttura istituzionale, organizzativa e il funzionamento del sistema di giustizia penale e sarà in grado di analizzare i principali problemi istituzionali e funzionali. </w:t>
      </w:r>
    </w:p>
    <w:p w14:paraId="50EA19CE" w14:textId="77777777" w:rsidR="00690F7F" w:rsidRDefault="00690F7F" w:rsidP="00690F7F">
      <w:pPr>
        <w:spacing w:before="240" w:after="120"/>
        <w:rPr>
          <w:b/>
          <w:noProof/>
          <w:sz w:val="18"/>
        </w:rPr>
      </w:pPr>
      <w:r>
        <w:rPr>
          <w:b/>
          <w:i/>
          <w:noProof/>
          <w:sz w:val="18"/>
        </w:rPr>
        <w:t>PROGRAMMA DEL CORSO</w:t>
      </w:r>
    </w:p>
    <w:p w14:paraId="48D4A6A1" w14:textId="77777777" w:rsidR="002D0055" w:rsidRDefault="00690F7F" w:rsidP="002D0055">
      <w:pPr>
        <w:pStyle w:val="Paragrafoelenco"/>
        <w:numPr>
          <w:ilvl w:val="0"/>
          <w:numId w:val="15"/>
        </w:numPr>
        <w:spacing w:before="120" w:line="240" w:lineRule="auto"/>
        <w:rPr>
          <w:rFonts w:eastAsia="Calibri"/>
          <w:i/>
          <w:szCs w:val="18"/>
          <w:lang w:eastAsia="en-US"/>
        </w:rPr>
      </w:pPr>
      <w:r w:rsidRPr="002D0055">
        <w:rPr>
          <w:rFonts w:eastAsia="Calibri"/>
          <w:i/>
          <w:szCs w:val="18"/>
          <w:lang w:eastAsia="en-US"/>
        </w:rPr>
        <w:t>Introduzione al corso ed alla valutazione</w:t>
      </w:r>
    </w:p>
    <w:p w14:paraId="7C27E5AB" w14:textId="64EBE59D" w:rsidR="00690F7F" w:rsidRPr="002D0055" w:rsidRDefault="00690F7F" w:rsidP="002D0055">
      <w:pPr>
        <w:pStyle w:val="Paragrafoelenco"/>
        <w:numPr>
          <w:ilvl w:val="0"/>
          <w:numId w:val="15"/>
        </w:numPr>
        <w:spacing w:before="120" w:line="240" w:lineRule="auto"/>
        <w:ind w:left="357" w:hanging="357"/>
        <w:contextualSpacing w:val="0"/>
        <w:rPr>
          <w:rFonts w:eastAsia="Calibri"/>
          <w:i/>
          <w:szCs w:val="18"/>
          <w:lang w:eastAsia="en-US"/>
        </w:rPr>
      </w:pPr>
      <w:r w:rsidRPr="002D0055">
        <w:rPr>
          <w:rFonts w:eastAsia="Calibri"/>
          <w:i/>
          <w:szCs w:val="18"/>
          <w:lang w:eastAsia="en-US"/>
        </w:rPr>
        <w:t>Polizia</w:t>
      </w:r>
    </w:p>
    <w:p w14:paraId="21A2D79F"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Storia ed evoluzione</w:t>
      </w:r>
    </w:p>
    <w:p w14:paraId="7F36A408"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6E3FCCBA"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Analisi comparata</w:t>
      </w:r>
    </w:p>
    <w:p w14:paraId="209DE54C"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Il sistema italiano</w:t>
      </w:r>
    </w:p>
    <w:p w14:paraId="06A4E577" w14:textId="77777777" w:rsidR="002D0055" w:rsidRDefault="00690F7F" w:rsidP="002D0055">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10F93202" w14:textId="084F550F" w:rsidR="00690F7F" w:rsidRPr="002D0055" w:rsidRDefault="00690F7F" w:rsidP="002D0055">
      <w:pPr>
        <w:pStyle w:val="Paragrafoelenco"/>
        <w:numPr>
          <w:ilvl w:val="0"/>
          <w:numId w:val="15"/>
        </w:numPr>
        <w:tabs>
          <w:tab w:val="clear" w:pos="284"/>
        </w:tabs>
        <w:spacing w:before="120" w:line="240" w:lineRule="auto"/>
        <w:ind w:left="357" w:hanging="357"/>
        <w:contextualSpacing w:val="0"/>
        <w:rPr>
          <w:rFonts w:eastAsia="Calibri"/>
          <w:szCs w:val="18"/>
          <w:lang w:eastAsia="en-US"/>
        </w:rPr>
      </w:pPr>
      <w:r w:rsidRPr="002D0055">
        <w:rPr>
          <w:rFonts w:eastAsia="Calibri"/>
          <w:i/>
          <w:szCs w:val="18"/>
          <w:lang w:eastAsia="en-US"/>
        </w:rPr>
        <w:t>Giustizia penale</w:t>
      </w:r>
    </w:p>
    <w:p w14:paraId="43004387"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Storia ed evoluzione</w:t>
      </w:r>
    </w:p>
    <w:p w14:paraId="7C2B72D9"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29E1E2BF"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Il sistema italiano</w:t>
      </w:r>
    </w:p>
    <w:p w14:paraId="59C49339"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Analisi comparata</w:t>
      </w:r>
    </w:p>
    <w:p w14:paraId="6550E9BD"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6C23F769" w14:textId="35B58483" w:rsidR="00690F7F" w:rsidRPr="002D0055" w:rsidRDefault="00690F7F" w:rsidP="002D0055">
      <w:pPr>
        <w:pStyle w:val="Paragrafoelenco"/>
        <w:numPr>
          <w:ilvl w:val="0"/>
          <w:numId w:val="15"/>
        </w:numPr>
        <w:tabs>
          <w:tab w:val="clear" w:pos="284"/>
        </w:tabs>
        <w:spacing w:before="120" w:line="240" w:lineRule="auto"/>
        <w:rPr>
          <w:rFonts w:eastAsia="Calibri"/>
          <w:szCs w:val="18"/>
          <w:lang w:eastAsia="en-US"/>
        </w:rPr>
      </w:pPr>
      <w:r w:rsidRPr="002D0055">
        <w:rPr>
          <w:rFonts w:eastAsia="Calibri"/>
          <w:i/>
          <w:szCs w:val="18"/>
          <w:lang w:eastAsia="en-US"/>
        </w:rPr>
        <w:lastRenderedPageBreak/>
        <w:t>Sistema sanzionatorio</w:t>
      </w:r>
    </w:p>
    <w:p w14:paraId="3AD76BBC"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Storia ed evoluzione</w:t>
      </w:r>
    </w:p>
    <w:p w14:paraId="754CD70C"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Funzioni, attività, strategie</w:t>
      </w:r>
    </w:p>
    <w:p w14:paraId="1FE2D9B4"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Il sistema italiano</w:t>
      </w:r>
    </w:p>
    <w:p w14:paraId="5CC6890F" w14:textId="77777777" w:rsidR="00690F7F" w:rsidRPr="003664E0" w:rsidRDefault="00690F7F" w:rsidP="00690F7F">
      <w:pPr>
        <w:pStyle w:val="Paragrafoelenco"/>
        <w:numPr>
          <w:ilvl w:val="0"/>
          <w:numId w:val="2"/>
        </w:numPr>
        <w:tabs>
          <w:tab w:val="clear" w:pos="284"/>
        </w:tabs>
        <w:spacing w:line="240" w:lineRule="auto"/>
        <w:ind w:left="284" w:hanging="284"/>
        <w:rPr>
          <w:rFonts w:eastAsia="Calibri"/>
          <w:szCs w:val="18"/>
          <w:lang w:eastAsia="en-US"/>
        </w:rPr>
      </w:pPr>
      <w:r w:rsidRPr="003664E0">
        <w:rPr>
          <w:rFonts w:eastAsia="Calibri"/>
          <w:szCs w:val="18"/>
          <w:lang w:eastAsia="en-US"/>
        </w:rPr>
        <w:t>Analisi comparata</w:t>
      </w:r>
    </w:p>
    <w:p w14:paraId="4784E6E8" w14:textId="77777777" w:rsidR="00690F7F" w:rsidRPr="003664E0" w:rsidRDefault="00690F7F" w:rsidP="00690F7F">
      <w:pPr>
        <w:tabs>
          <w:tab w:val="clear" w:pos="284"/>
        </w:tabs>
        <w:spacing w:line="240" w:lineRule="auto"/>
        <w:ind w:left="284" w:hanging="284"/>
        <w:rPr>
          <w:rFonts w:eastAsia="Calibri"/>
          <w:szCs w:val="18"/>
          <w:lang w:eastAsia="en-US"/>
        </w:rPr>
      </w:pPr>
      <w:r w:rsidRPr="003664E0">
        <w:rPr>
          <w:rFonts w:eastAsia="Calibri"/>
          <w:szCs w:val="18"/>
          <w:lang w:eastAsia="en-US"/>
        </w:rPr>
        <w:t>–</w:t>
      </w:r>
      <w:r w:rsidRPr="003664E0">
        <w:rPr>
          <w:rFonts w:eastAsia="Calibri"/>
          <w:szCs w:val="18"/>
          <w:lang w:eastAsia="en-US"/>
        </w:rPr>
        <w:tab/>
        <w:t>Focus: il sistema americano.</w:t>
      </w:r>
    </w:p>
    <w:p w14:paraId="509B1FAE" w14:textId="6613D2BA" w:rsidR="00690F7F" w:rsidRPr="002D0055" w:rsidRDefault="00690F7F" w:rsidP="002D0055">
      <w:pPr>
        <w:pStyle w:val="Paragrafoelenco"/>
        <w:numPr>
          <w:ilvl w:val="0"/>
          <w:numId w:val="15"/>
        </w:numPr>
        <w:tabs>
          <w:tab w:val="clear" w:pos="284"/>
        </w:tabs>
        <w:spacing w:before="120" w:line="240" w:lineRule="auto"/>
        <w:rPr>
          <w:rFonts w:eastAsia="Calibri"/>
          <w:i/>
          <w:szCs w:val="18"/>
          <w:lang w:eastAsia="en-US"/>
        </w:rPr>
      </w:pPr>
      <w:r w:rsidRPr="002D0055">
        <w:rPr>
          <w:rFonts w:eastAsia="Calibri"/>
          <w:i/>
          <w:szCs w:val="18"/>
          <w:lang w:eastAsia="en-US"/>
        </w:rPr>
        <w:t>Parte speciale: polizia, giustizia penale e sistema sanzionatorio nel contrasto alla mafia</w:t>
      </w:r>
    </w:p>
    <w:p w14:paraId="6A1B4866" w14:textId="03F06EA8" w:rsidR="00690F7F" w:rsidRPr="005F16A6" w:rsidRDefault="00690F7F" w:rsidP="00690F7F">
      <w:pPr>
        <w:spacing w:before="240" w:after="120" w:line="220" w:lineRule="exact"/>
        <w:rPr>
          <w:rFonts w:eastAsia="Calibri"/>
          <w:b/>
          <w:i/>
          <w:sz w:val="18"/>
          <w:lang w:eastAsia="en-US"/>
        </w:rPr>
      </w:pPr>
      <w:r>
        <w:rPr>
          <w:rFonts w:eastAsia="Calibri"/>
          <w:b/>
          <w:i/>
          <w:sz w:val="18"/>
          <w:lang w:eastAsia="en-US"/>
        </w:rPr>
        <w:t>BIBLIOGRAFIA</w:t>
      </w:r>
    </w:p>
    <w:p w14:paraId="33B56A5D" w14:textId="1FB6D749" w:rsidR="00690F7F" w:rsidRPr="003664E0" w:rsidRDefault="002C7D67" w:rsidP="00545343">
      <w:pPr>
        <w:pStyle w:val="Testo1"/>
        <w:spacing w:before="0"/>
      </w:pPr>
      <w:r w:rsidRPr="002C7D67">
        <w:t>Poiché attualmente non esistono manuali in italiano per la materia</w:t>
      </w:r>
      <w:r w:rsidR="00690F7F" w:rsidRPr="003664E0">
        <w:t xml:space="preserve">, la bibliografia comprenderà diversi testi, anche in inglese, reperibili presso la biblioteca </w:t>
      </w:r>
      <w:r>
        <w:t>dell’Università</w:t>
      </w:r>
      <w:r w:rsidR="00690F7F" w:rsidRPr="003664E0">
        <w:t xml:space="preserve">. </w:t>
      </w:r>
      <w:r w:rsidRPr="002C7D67">
        <w:t>Gli studenti sono tenuti a familiarizzare con il sistema bibliotecario e ad essere in grado di recuperare la bibliografia in modo autonomo</w:t>
      </w:r>
      <w:r w:rsidR="00690F7F" w:rsidRPr="003664E0">
        <w:t xml:space="preserve">. I materiali non reperibili presso la biblioteca </w:t>
      </w:r>
      <w:r>
        <w:t xml:space="preserve">o in rete </w:t>
      </w:r>
      <w:r w:rsidR="00690F7F" w:rsidRPr="003664E0">
        <w:t xml:space="preserve">saranno messi a disposizione </w:t>
      </w:r>
      <w:r>
        <w:t>sulla piattaforma</w:t>
      </w:r>
      <w:r w:rsidR="00690F7F" w:rsidRPr="003664E0">
        <w:t xml:space="preserve"> </w:t>
      </w:r>
      <w:r w:rsidR="00690F7F" w:rsidRPr="003664E0">
        <w:rPr>
          <w:i/>
        </w:rPr>
        <w:t>Blackboard</w:t>
      </w:r>
      <w:r w:rsidR="00690F7F" w:rsidRPr="003664E0">
        <w:t xml:space="preserve">. </w:t>
      </w:r>
    </w:p>
    <w:p w14:paraId="51BE4E8C" w14:textId="19EB0609" w:rsidR="00963035" w:rsidRPr="003664E0" w:rsidRDefault="00963035" w:rsidP="00545343">
      <w:pPr>
        <w:pStyle w:val="Testo1"/>
        <w:spacing w:before="0"/>
      </w:pPr>
      <w:r w:rsidRPr="003664E0">
        <w:t xml:space="preserve">La bibliografia aggiornata sarà </w:t>
      </w:r>
      <w:r w:rsidR="00B97025" w:rsidRPr="003664E0">
        <w:t>fornit</w:t>
      </w:r>
      <w:r w:rsidR="00232183" w:rsidRPr="003664E0">
        <w:t>a</w:t>
      </w:r>
      <w:r w:rsidR="00B97025" w:rsidRPr="003664E0">
        <w:t xml:space="preserve"> a inizio corso tramite </w:t>
      </w:r>
      <w:r w:rsidR="00B97025" w:rsidRPr="003664E0">
        <w:rPr>
          <w:i/>
        </w:rPr>
        <w:t>B</w:t>
      </w:r>
      <w:r w:rsidRPr="003664E0">
        <w:rPr>
          <w:i/>
        </w:rPr>
        <w:t>lackboard</w:t>
      </w:r>
      <w:r w:rsidRPr="003664E0">
        <w:t xml:space="preserve">. A titolo informativo si </w:t>
      </w:r>
      <w:r w:rsidR="002C7D67">
        <w:t>elenca</w:t>
      </w:r>
      <w:r w:rsidRPr="003664E0">
        <w:t xml:space="preserve"> la bibliografia per l’a</w:t>
      </w:r>
      <w:r w:rsidR="002C7D67">
        <w:t xml:space="preserve">nno </w:t>
      </w:r>
      <w:r w:rsidRPr="003664E0">
        <w:t>a</w:t>
      </w:r>
      <w:r w:rsidR="002C7D67">
        <w:t>ccademico</w:t>
      </w:r>
      <w:r w:rsidRPr="003664E0">
        <w:t xml:space="preserve"> 20</w:t>
      </w:r>
      <w:r w:rsidR="00AB01EC" w:rsidRPr="003664E0">
        <w:t>2</w:t>
      </w:r>
      <w:r w:rsidR="00143435">
        <w:t>2</w:t>
      </w:r>
      <w:r w:rsidRPr="003664E0">
        <w:t>-202</w:t>
      </w:r>
      <w:r w:rsidR="00143435">
        <w:t>3</w:t>
      </w:r>
      <w:r w:rsidRPr="003664E0">
        <w:t>:</w:t>
      </w:r>
    </w:p>
    <w:p w14:paraId="0C305488" w14:textId="77777777" w:rsidR="00E961FB" w:rsidRPr="00E961FB" w:rsidRDefault="00E961FB" w:rsidP="00E961FB">
      <w:pPr>
        <w:pStyle w:val="Testo1"/>
        <w:rPr>
          <w:szCs w:val="18"/>
        </w:rPr>
      </w:pPr>
      <w:r w:rsidRPr="00E961FB">
        <w:rPr>
          <w:szCs w:val="18"/>
        </w:rPr>
        <w:t>Antigone. 2022. “Il carcere visto da dentro. XVIII Rapporto di Antigone sulle condizioni di detenzione.” Roma: Antigone. https://www.rapportoantigone.it/diciottesimo-rapporto-sulle-condizioni-di-detenzione/wp-content/uploads/2022/05/ANTIGONE_XVIIIrapporto_2022.pdf.</w:t>
      </w:r>
    </w:p>
    <w:p w14:paraId="18F05A2F" w14:textId="77777777" w:rsidR="00E961FB" w:rsidRDefault="00E961FB" w:rsidP="00E961FB">
      <w:pPr>
        <w:pStyle w:val="Testo1"/>
        <w:spacing w:before="0"/>
        <w:rPr>
          <w:szCs w:val="18"/>
        </w:rPr>
      </w:pPr>
      <w:r w:rsidRPr="00E961FB">
        <w:rPr>
          <w:szCs w:val="18"/>
        </w:rPr>
        <w:t>(pdf caricato in Blackboard) Solamente le seguenti pagine: 11-28, 59-65, 73-78 e 89-106.</w:t>
      </w:r>
    </w:p>
    <w:p w14:paraId="6F79EDA1" w14:textId="4C5FF96B" w:rsidR="002B0421" w:rsidRPr="0055748D" w:rsidRDefault="002B0421" w:rsidP="00E961FB">
      <w:pPr>
        <w:pStyle w:val="Testo1"/>
        <w:spacing w:before="0"/>
        <w:rPr>
          <w:szCs w:val="18"/>
        </w:rPr>
      </w:pPr>
      <w:r w:rsidRPr="0055748D">
        <w:rPr>
          <w:szCs w:val="18"/>
        </w:rPr>
        <w:t>Barbagli, Marzio, a c. di. 2003. Rapporto Sulla Criminalità in Italia. Ricerche e studi dell’Istituto</w:t>
      </w:r>
      <w:r w:rsidR="00457B2C" w:rsidRPr="0055748D">
        <w:rPr>
          <w:szCs w:val="18"/>
        </w:rPr>
        <w:t xml:space="preserve"> Cattaneo. Bologna: Il mulino. </w:t>
      </w:r>
      <w:r w:rsidRPr="0055748D">
        <w:rPr>
          <w:szCs w:val="18"/>
        </w:rPr>
        <w:t>Solamente le seguenti parti e pagine:</w:t>
      </w:r>
    </w:p>
    <w:p w14:paraId="339E3BB7" w14:textId="77777777" w:rsidR="002B0421" w:rsidRPr="0055748D" w:rsidRDefault="002B0421" w:rsidP="00545343">
      <w:pPr>
        <w:pStyle w:val="Testo1"/>
        <w:spacing w:before="0"/>
        <w:rPr>
          <w:szCs w:val="18"/>
        </w:rPr>
      </w:pPr>
      <w:r w:rsidRPr="0055748D">
        <w:rPr>
          <w:szCs w:val="18"/>
        </w:rPr>
        <w:t>•</w:t>
      </w:r>
      <w:r w:rsidRPr="0055748D">
        <w:rPr>
          <w:szCs w:val="18"/>
        </w:rPr>
        <w:tab/>
        <w:t xml:space="preserve">Barbagli, Marzio, and Laura Sartori. “L’attività delle forze di polizia” 575–609. </w:t>
      </w:r>
    </w:p>
    <w:p w14:paraId="5865A9A1" w14:textId="77777777" w:rsidR="002B0421" w:rsidRPr="0055748D" w:rsidRDefault="002B0421" w:rsidP="00545343">
      <w:pPr>
        <w:pStyle w:val="Testo1"/>
        <w:spacing w:before="0"/>
        <w:rPr>
          <w:szCs w:val="18"/>
        </w:rPr>
      </w:pPr>
      <w:r w:rsidRPr="0055748D">
        <w:rPr>
          <w:szCs w:val="18"/>
        </w:rPr>
        <w:t>•</w:t>
      </w:r>
      <w:r w:rsidRPr="0055748D">
        <w:rPr>
          <w:szCs w:val="18"/>
        </w:rPr>
        <w:tab/>
        <w:t xml:space="preserve">Cornelli, Roberto. “Le forze di polizia: situazione attuale e prospettive di riforma.” 557–573. </w:t>
      </w:r>
    </w:p>
    <w:p w14:paraId="4F2970A3" w14:textId="77777777" w:rsidR="002B0421" w:rsidRPr="0055748D" w:rsidRDefault="002B0421" w:rsidP="00545343">
      <w:pPr>
        <w:pStyle w:val="Testo1"/>
        <w:spacing w:before="0"/>
        <w:rPr>
          <w:szCs w:val="18"/>
        </w:rPr>
      </w:pPr>
      <w:r w:rsidRPr="0055748D">
        <w:rPr>
          <w:szCs w:val="18"/>
        </w:rPr>
        <w:t>Biavati, Paolo, Daniela Cavallini, e Renzo Orlandi. 2016. Assetti della giustizia civile e penale in Italia. Bologna: Il Mulino. Solamente le seguenti parti e pagine:</w:t>
      </w:r>
    </w:p>
    <w:p w14:paraId="03D2ED51" w14:textId="77777777" w:rsidR="002B0421" w:rsidRPr="0055748D" w:rsidRDefault="002B0421" w:rsidP="00545343">
      <w:pPr>
        <w:pStyle w:val="Testo1"/>
        <w:spacing w:before="0"/>
        <w:rPr>
          <w:szCs w:val="18"/>
        </w:rPr>
      </w:pPr>
      <w:r w:rsidRPr="0055748D">
        <w:rPr>
          <w:szCs w:val="18"/>
        </w:rPr>
        <w:t>•</w:t>
      </w:r>
      <w:r w:rsidRPr="0055748D">
        <w:rPr>
          <w:szCs w:val="18"/>
        </w:rPr>
        <w:tab/>
        <w:t>Parte prima, “Profili Ordinamentali”, Capp. I e II (pp. 19-77)</w:t>
      </w:r>
    </w:p>
    <w:p w14:paraId="4DE6F692" w14:textId="77777777" w:rsidR="002B0421" w:rsidRPr="0055748D" w:rsidRDefault="002B0421" w:rsidP="00545343">
      <w:pPr>
        <w:pStyle w:val="Testo1"/>
        <w:spacing w:before="0"/>
        <w:rPr>
          <w:szCs w:val="18"/>
          <w:lang w:val="en-US"/>
        </w:rPr>
      </w:pPr>
      <w:r w:rsidRPr="0055748D">
        <w:rPr>
          <w:szCs w:val="18"/>
        </w:rPr>
        <w:t>•</w:t>
      </w:r>
      <w:r w:rsidRPr="0055748D">
        <w:rPr>
          <w:szCs w:val="18"/>
        </w:rPr>
        <w:tab/>
        <w:t xml:space="preserve">Parte terza, “Organizzazione della giustizia penale”, Capp. </w:t>
      </w:r>
      <w:r w:rsidRPr="0055748D">
        <w:rPr>
          <w:szCs w:val="18"/>
          <w:lang w:val="en-US"/>
        </w:rPr>
        <w:t>X, XI, XII (pp. 189-253)</w:t>
      </w:r>
    </w:p>
    <w:p w14:paraId="308E1715" w14:textId="77777777" w:rsidR="002B0421" w:rsidRPr="0055748D" w:rsidRDefault="002B0421" w:rsidP="00545343">
      <w:pPr>
        <w:pStyle w:val="Testo1"/>
        <w:spacing w:before="0"/>
        <w:rPr>
          <w:szCs w:val="18"/>
        </w:rPr>
      </w:pPr>
      <w:r w:rsidRPr="0055748D">
        <w:rPr>
          <w:szCs w:val="18"/>
          <w:lang w:val="en-US"/>
        </w:rPr>
        <w:t xml:space="preserve">Dammer, Harry R, e Jay S Albanese. Comparative Criminal Justice Systems. 5 ed, International edition. </w:t>
      </w:r>
      <w:r w:rsidRPr="0055748D">
        <w:rPr>
          <w:szCs w:val="18"/>
        </w:rPr>
        <w:t>Belmont, CA: Wadsworth/Cengage Learning, 2014. Solamente le seguenti parti e pagine:</w:t>
      </w:r>
    </w:p>
    <w:p w14:paraId="56184483"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 xml:space="preserve">Capitolo 3 “Families of law” 38-51. </w:t>
      </w:r>
    </w:p>
    <w:p w14:paraId="7C094528"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Capitolo 8 “After conviction: the sentencing process” 190-212.</w:t>
      </w:r>
    </w:p>
    <w:p w14:paraId="0AAEFB22" w14:textId="77777777" w:rsidR="002B0421" w:rsidRPr="0055748D" w:rsidRDefault="002B0421" w:rsidP="00545343">
      <w:pPr>
        <w:pStyle w:val="Testo1"/>
        <w:spacing w:before="0"/>
        <w:rPr>
          <w:szCs w:val="18"/>
        </w:rPr>
      </w:pPr>
      <w:r w:rsidRPr="0055748D">
        <w:rPr>
          <w:szCs w:val="18"/>
        </w:rPr>
        <w:t>Di Federico, Giuseppe. 2019. “Rappresentazione sintetica del complesso degli uffici giudiziari, delle loro relazioni funzionali e della loro dimensione organizzativa”. In Ordinamento giudiziario. Uffici giudiziari, Csm e governo della magistratura, a cura di Giuseppe Di Federico, 13–21. Bologna: Bononia University Press.</w:t>
      </w:r>
    </w:p>
    <w:p w14:paraId="75E4F488" w14:textId="77777777" w:rsidR="002B0421" w:rsidRPr="0055748D" w:rsidRDefault="002B0421" w:rsidP="00545343">
      <w:pPr>
        <w:pStyle w:val="Testo1"/>
        <w:spacing w:before="0"/>
        <w:rPr>
          <w:szCs w:val="18"/>
        </w:rPr>
      </w:pPr>
      <w:r w:rsidRPr="0055748D">
        <w:rPr>
          <w:szCs w:val="18"/>
        </w:rPr>
        <w:t xml:space="preserve">Di Federico, Giuseppe. 2012. “Il pubblico ministero italiano in prospettiva comparata”. In Ordinamento giudiziario: uffici giudiziari, CSM e governo della magistratura, a cura di Giuseppe Di Federico, 2o ed., 335–354. Padova: CEDAM. </w:t>
      </w:r>
    </w:p>
    <w:p w14:paraId="6B85F38C" w14:textId="77777777" w:rsidR="002B0421" w:rsidRPr="0055748D" w:rsidRDefault="002B0421" w:rsidP="00545343">
      <w:pPr>
        <w:pStyle w:val="Testo1"/>
        <w:spacing w:before="0"/>
        <w:rPr>
          <w:szCs w:val="18"/>
        </w:rPr>
      </w:pPr>
      <w:r w:rsidRPr="0055748D">
        <w:rPr>
          <w:szCs w:val="18"/>
        </w:rPr>
        <w:lastRenderedPageBreak/>
        <w:t>Di Marino Gabriele, and Antonio Montanaro “D.I.A: Una struttura di coordinamento con le caratteristiche di una ‘task force’?”, in Rivista di polizia, 1998, 12, p. 812-823.</w:t>
      </w:r>
    </w:p>
    <w:p w14:paraId="1E04A859" w14:textId="7AD4F459" w:rsidR="00E961FB" w:rsidRPr="00E961FB" w:rsidRDefault="00E961FB" w:rsidP="00545343">
      <w:pPr>
        <w:pStyle w:val="Testo1"/>
        <w:spacing w:before="0"/>
        <w:rPr>
          <w:szCs w:val="18"/>
        </w:rPr>
      </w:pPr>
      <w:r w:rsidRPr="00E961FB">
        <w:rPr>
          <w:szCs w:val="18"/>
        </w:rPr>
        <w:t>Ministero della Giustizia. 2022. “Relazione illustrativa al decreto legislativo 10 ottobre 2022, n. 150: «Attuazione della legge 27 settembre 2021, n. 134, recante delega al Governo per l’efficienza del processo penale, nonché in materia di giustizia riparativa e disposizioni per la celere definizione dei procedimenti giudiziari».” Roma: Ministero della Giustizia. (in blackboard). Solo Parte II, Capitolo 1</w:t>
      </w:r>
    </w:p>
    <w:p w14:paraId="0CDD42AA" w14:textId="78E255DB" w:rsidR="002B0421" w:rsidRPr="0055748D" w:rsidRDefault="002B0421" w:rsidP="00545343">
      <w:pPr>
        <w:pStyle w:val="Testo1"/>
        <w:spacing w:before="0"/>
        <w:rPr>
          <w:szCs w:val="18"/>
        </w:rPr>
      </w:pPr>
      <w:r w:rsidRPr="0055748D">
        <w:rPr>
          <w:szCs w:val="18"/>
          <w:lang w:val="en-US"/>
        </w:rPr>
        <w:t xml:space="preserve">Reichel, Philip L. Comparative Criminal Justice Systems: A Topical Approach. </w:t>
      </w:r>
      <w:r w:rsidRPr="0055748D">
        <w:rPr>
          <w:szCs w:val="18"/>
        </w:rPr>
        <w:t>6th ed. Upper Saddle River: Pearson, 2013. Solamente le seguenti parti e pagine:</w:t>
      </w:r>
    </w:p>
    <w:p w14:paraId="1F533087" w14:textId="77777777" w:rsidR="002B0421" w:rsidRPr="002D0055" w:rsidRDefault="002B0421" w:rsidP="00545343">
      <w:pPr>
        <w:pStyle w:val="Testo1"/>
        <w:spacing w:before="0"/>
        <w:rPr>
          <w:szCs w:val="18"/>
          <w:lang w:val="en-US"/>
        </w:rPr>
      </w:pPr>
      <w:r w:rsidRPr="002D0055">
        <w:rPr>
          <w:szCs w:val="18"/>
          <w:lang w:val="en-US"/>
        </w:rPr>
        <w:t>•</w:t>
      </w:r>
      <w:r w:rsidRPr="002D0055">
        <w:rPr>
          <w:szCs w:val="18"/>
          <w:lang w:val="en-US"/>
        </w:rPr>
        <w:tab/>
        <w:t xml:space="preserve">Capitolo 6, “An International perspective on policing”, 150-174 </w:t>
      </w:r>
    </w:p>
    <w:p w14:paraId="55796A6E" w14:textId="77777777" w:rsidR="002B0421" w:rsidRPr="0055748D" w:rsidRDefault="002B0421" w:rsidP="00545343">
      <w:pPr>
        <w:pStyle w:val="Testo1"/>
        <w:spacing w:before="0"/>
        <w:rPr>
          <w:szCs w:val="18"/>
        </w:rPr>
      </w:pPr>
      <w:r w:rsidRPr="0055748D">
        <w:rPr>
          <w:szCs w:val="18"/>
        </w:rPr>
        <w:t>•</w:t>
      </w:r>
      <w:r w:rsidRPr="0055748D">
        <w:rPr>
          <w:szCs w:val="18"/>
        </w:rPr>
        <w:tab/>
        <w:t>Capitolo 7 “An International perspective on courts” 186-226: nota bene: gli esempi sui paesi sono solo da leggere.</w:t>
      </w:r>
    </w:p>
    <w:p w14:paraId="2DF4F16D" w14:textId="77777777" w:rsidR="002B0421" w:rsidRPr="0055748D" w:rsidRDefault="002B0421" w:rsidP="00545343">
      <w:pPr>
        <w:pStyle w:val="Testo1"/>
        <w:spacing w:before="0"/>
        <w:rPr>
          <w:szCs w:val="18"/>
        </w:rPr>
      </w:pPr>
      <w:r w:rsidRPr="0055748D">
        <w:rPr>
          <w:szCs w:val="18"/>
          <w:lang w:val="en-US"/>
        </w:rPr>
        <w:t xml:space="preserve">Roberson, Cliff, and Dilip K. Das. An Introduction to Comparative Legal Models of Criminal Justice. </w:t>
      </w:r>
      <w:r w:rsidRPr="0055748D">
        <w:rPr>
          <w:szCs w:val="18"/>
        </w:rPr>
        <w:t>Boca Raton, Fl: CRC Press, 2008. Solamente le seguenti parti e pagine:</w:t>
      </w:r>
    </w:p>
    <w:p w14:paraId="28DEB8EB" w14:textId="77777777" w:rsidR="002B0421" w:rsidRPr="0055748D" w:rsidRDefault="002B0421" w:rsidP="00545343">
      <w:pPr>
        <w:pStyle w:val="Testo1"/>
        <w:spacing w:before="0"/>
        <w:rPr>
          <w:szCs w:val="18"/>
        </w:rPr>
      </w:pPr>
      <w:r w:rsidRPr="0055748D">
        <w:rPr>
          <w:szCs w:val="18"/>
        </w:rPr>
        <w:t>•</w:t>
      </w:r>
      <w:r w:rsidRPr="0055748D">
        <w:rPr>
          <w:szCs w:val="18"/>
        </w:rPr>
        <w:tab/>
        <w:t xml:space="preserve">Capitolo 2, “Common Law Model: The Courts” 25-69 nota bene: gli esempi sui paesi sono solo da leggere </w:t>
      </w:r>
    </w:p>
    <w:p w14:paraId="0368CC71" w14:textId="77777777" w:rsidR="002B0421" w:rsidRPr="0055748D" w:rsidRDefault="002B0421" w:rsidP="00545343">
      <w:pPr>
        <w:pStyle w:val="Testo1"/>
        <w:spacing w:before="0"/>
        <w:rPr>
          <w:szCs w:val="18"/>
          <w:lang w:val="en-US"/>
        </w:rPr>
      </w:pPr>
      <w:r w:rsidRPr="0055748D">
        <w:rPr>
          <w:szCs w:val="18"/>
          <w:lang w:val="en-US"/>
        </w:rPr>
        <w:t>•</w:t>
      </w:r>
      <w:r w:rsidRPr="0055748D">
        <w:rPr>
          <w:szCs w:val="18"/>
          <w:lang w:val="en-US"/>
        </w:rPr>
        <w:tab/>
        <w:t>Capitolo 4, “Civil Law Model: The Courts”, 101-124.</w:t>
      </w:r>
    </w:p>
    <w:p w14:paraId="6677BFF3" w14:textId="77777777" w:rsidR="002B0421" w:rsidRPr="0055748D" w:rsidRDefault="002B0421" w:rsidP="00545343">
      <w:pPr>
        <w:pStyle w:val="Testo1"/>
        <w:spacing w:before="0"/>
        <w:rPr>
          <w:szCs w:val="18"/>
        </w:rPr>
      </w:pPr>
      <w:r w:rsidRPr="0055748D">
        <w:rPr>
          <w:szCs w:val="18"/>
        </w:rPr>
        <w:t>Solivetti, Luigi Maria (a cura di). “13. Personale e Strutture.” In Il Sistema Penitenziario Italiano: Dati e Analisi, Roma: Ministero della Giustizia, 2003 solo pp 103–112.</w:t>
      </w:r>
    </w:p>
    <w:p w14:paraId="1B0BB043" w14:textId="77777777" w:rsidR="002B0421" w:rsidRPr="0055748D" w:rsidRDefault="002B0421" w:rsidP="00545343">
      <w:pPr>
        <w:pStyle w:val="Testo1"/>
        <w:spacing w:before="0"/>
        <w:rPr>
          <w:szCs w:val="18"/>
        </w:rPr>
      </w:pPr>
      <w:r w:rsidRPr="0055748D">
        <w:rPr>
          <w:szCs w:val="18"/>
          <w:lang w:val="en-US"/>
        </w:rPr>
        <w:t xml:space="preserve">Weisburd, David, and John E. Eck. 2008. “What Can Police Do to Reduce Crime, Disorder, and Fear?” In International Handbook of Penology and Criminal Justice, edited by Shlomo Giora Shoham, Ori Beck, and Martin Kett, 479–502. </w:t>
      </w:r>
      <w:r w:rsidRPr="0055748D">
        <w:rPr>
          <w:szCs w:val="18"/>
        </w:rPr>
        <w:t>Boca Raton, FL: CRC Press.</w:t>
      </w:r>
    </w:p>
    <w:p w14:paraId="2A75ABCB" w14:textId="77777777" w:rsidR="00690F7F" w:rsidRDefault="00690F7F" w:rsidP="00F762DF">
      <w:pPr>
        <w:spacing w:before="240" w:after="120"/>
        <w:rPr>
          <w:rFonts w:eastAsia="Calibri"/>
          <w:b/>
          <w:i/>
          <w:sz w:val="18"/>
          <w:lang w:eastAsia="en-US"/>
        </w:rPr>
      </w:pPr>
      <w:r>
        <w:rPr>
          <w:rFonts w:eastAsia="Calibri"/>
          <w:b/>
          <w:i/>
          <w:sz w:val="18"/>
          <w:lang w:eastAsia="en-US"/>
        </w:rPr>
        <w:t>DIDATTICA DEL CORSO</w:t>
      </w:r>
    </w:p>
    <w:p w14:paraId="7F4C6016" w14:textId="77777777" w:rsidR="00690F7F" w:rsidRPr="00545343" w:rsidRDefault="00690F7F" w:rsidP="00545343">
      <w:pPr>
        <w:pStyle w:val="Testo2"/>
      </w:pPr>
      <w:r w:rsidRPr="00545343">
        <w:t>Lezioni in aula, esempi e casi pratici, elaborazione di un paper da parte degli studenti (opzionale).</w:t>
      </w:r>
    </w:p>
    <w:p w14:paraId="300F27ED" w14:textId="77777777" w:rsidR="00690F7F" w:rsidRDefault="00690F7F" w:rsidP="00690F7F">
      <w:pPr>
        <w:spacing w:before="240" w:after="120" w:line="220" w:lineRule="exact"/>
        <w:rPr>
          <w:rFonts w:eastAsia="Calibri"/>
          <w:b/>
          <w:i/>
          <w:sz w:val="18"/>
          <w:lang w:eastAsia="en-US"/>
        </w:rPr>
      </w:pPr>
      <w:r w:rsidRPr="00F724E8">
        <w:rPr>
          <w:rFonts w:eastAsia="Calibri"/>
          <w:b/>
          <w:i/>
          <w:sz w:val="18"/>
          <w:lang w:eastAsia="en-US"/>
        </w:rPr>
        <w:t xml:space="preserve">METODO </w:t>
      </w:r>
      <w:r w:rsidRPr="00F724E8">
        <w:rPr>
          <w:b/>
          <w:i/>
          <w:sz w:val="18"/>
        </w:rPr>
        <w:t xml:space="preserve">E CRITERI </w:t>
      </w:r>
      <w:r w:rsidRPr="00F724E8">
        <w:rPr>
          <w:rFonts w:eastAsia="Calibri"/>
          <w:b/>
          <w:i/>
          <w:sz w:val="18"/>
          <w:lang w:eastAsia="en-US"/>
        </w:rPr>
        <w:t>DI VALUTAZIONE</w:t>
      </w:r>
    </w:p>
    <w:p w14:paraId="4D502A4B" w14:textId="77777777" w:rsidR="002C7D67" w:rsidRDefault="002C7D67" w:rsidP="002C7D67">
      <w:pPr>
        <w:pStyle w:val="Testo2"/>
      </w:pPr>
      <w:r>
        <w:t>La valutazione del modulo prevede due possibili modalità a scelta dello studente:</w:t>
      </w:r>
    </w:p>
    <w:p w14:paraId="188E8D65" w14:textId="77777777" w:rsidR="002C7D67" w:rsidRDefault="002C7D67" w:rsidP="002C7D67">
      <w:pPr>
        <w:pStyle w:val="Testo2"/>
        <w:numPr>
          <w:ilvl w:val="0"/>
          <w:numId w:val="10"/>
        </w:numPr>
      </w:pPr>
      <w:r>
        <w:t>Elaborato scritto e prova scritta finale semplificata. Il voto finale sarà dato dalla somma dei voti conseguiti nell'elaborato scritto (0-16 punti) e nella prova scritta finale (due domande aperte, con possibilità di scegliere tra quattro domande) (0-16 punti).</w:t>
      </w:r>
    </w:p>
    <w:p w14:paraId="68637582" w14:textId="5D0B60D4" w:rsidR="002C7D67" w:rsidRDefault="002C7D67" w:rsidP="002C7D67">
      <w:pPr>
        <w:pStyle w:val="Testo2"/>
        <w:numPr>
          <w:ilvl w:val="0"/>
          <w:numId w:val="10"/>
        </w:numPr>
      </w:pPr>
      <w:r>
        <w:t>Prova scritta finale (quattro domande aperte, senza possibilità di scelta) (0-32 punti).</w:t>
      </w:r>
    </w:p>
    <w:p w14:paraId="4A9FF9A8" w14:textId="77777777" w:rsidR="002C7D67" w:rsidRDefault="002C7D67" w:rsidP="002C7D67">
      <w:pPr>
        <w:pStyle w:val="Testo2"/>
      </w:pPr>
      <w:r>
        <w:t>I punteggi superiori a 30 corrispondono a un voto di 30 e lode. La lista delle domande per la prova scritta finale sarà fornita dal docente verso la fine del corso. Potrebbero essere introdotte anche modalità di valutazione in itinere.</w:t>
      </w:r>
    </w:p>
    <w:p w14:paraId="16B3A74A" w14:textId="77777777" w:rsidR="002C7D67" w:rsidRDefault="002C7D67" w:rsidP="002C7D67">
      <w:pPr>
        <w:pStyle w:val="Testo2"/>
      </w:pPr>
      <w:r>
        <w:t>La prova d'esame dell'intero insegnamento comprende le prove finali di entrambi i moduli (Mod.1 e Mod. 2) che devono essere sostenute con esito positivo nello stesso appello, salvo le seguenti eccezioni:</w:t>
      </w:r>
    </w:p>
    <w:p w14:paraId="0CA03A9D" w14:textId="1BDC9C99" w:rsidR="002C7D67" w:rsidRDefault="002C7D67" w:rsidP="002C7D67">
      <w:pPr>
        <w:pStyle w:val="Testo2"/>
        <w:numPr>
          <w:ilvl w:val="0"/>
          <w:numId w:val="11"/>
        </w:numPr>
      </w:pPr>
      <w:r>
        <w:t>Gli studenti in corso (che hanno acquisito la frequenza nell'a.a. di erogazione del corso) che hanno superato la prova del Modulo 1 durante il preappello potranno sostenere solo la prova del Modulo 2 negli appelli di giugno-luglio.</w:t>
      </w:r>
    </w:p>
    <w:p w14:paraId="0B0285DA" w14:textId="79705D8A" w:rsidR="002C7D67" w:rsidRDefault="002C7D67" w:rsidP="002C7D67">
      <w:pPr>
        <w:pStyle w:val="Testo2"/>
        <w:numPr>
          <w:ilvl w:val="0"/>
          <w:numId w:val="11"/>
        </w:numPr>
      </w:pPr>
      <w:r>
        <w:lastRenderedPageBreak/>
        <w:t>Gli studenti in corso possono sostenere le due prove finali relative ai due Moduli in appelli separati nella sola sessione di esami di giugno-luglio, purché entrambe le prove siano superate entro la fine della sessione.</w:t>
      </w:r>
    </w:p>
    <w:p w14:paraId="6825AE5A" w14:textId="75B24945" w:rsidR="002C7D67" w:rsidRDefault="002C7D67" w:rsidP="002C7D67">
      <w:pPr>
        <w:pStyle w:val="Testo2"/>
      </w:pPr>
      <w:r>
        <w:t>Il voto finale dell'insegnamento sarà determinato dalla media aritmetica delle prove dei due moduli, a condizione che in entrambi si sia riportato un voto pari o superiore a 18. A tal fine, 30 e lode corrisponde a 31. La media sarà arrotondata per eccesso.</w:t>
      </w:r>
    </w:p>
    <w:p w14:paraId="0A33DD97" w14:textId="188EE217" w:rsidR="00690F7F" w:rsidRPr="0055748D" w:rsidRDefault="00690F7F" w:rsidP="0055748D">
      <w:pPr>
        <w:spacing w:before="240" w:after="120"/>
        <w:rPr>
          <w:b/>
          <w:i/>
          <w:sz w:val="18"/>
          <w:szCs w:val="18"/>
        </w:rPr>
      </w:pPr>
      <w:r w:rsidRPr="0055748D">
        <w:rPr>
          <w:b/>
          <w:i/>
          <w:sz w:val="18"/>
          <w:szCs w:val="18"/>
        </w:rPr>
        <w:t>AVVERTENZE E PREREQUISITI</w:t>
      </w:r>
    </w:p>
    <w:p w14:paraId="718CF2AA" w14:textId="664D22BB" w:rsidR="00690F7F" w:rsidRPr="00545343" w:rsidRDefault="00690F7F" w:rsidP="00545343">
      <w:pPr>
        <w:pStyle w:val="Testo2"/>
      </w:pPr>
      <w:r w:rsidRPr="00545343">
        <w:t xml:space="preserve">La frequenza è altamente consigliata, in considerazione della natura specialistica e in costante cambiamento degli argomenti. Ogni anno il programma è aggiornato per tenere il passo con gli sviluppi e le innovazioni del sistema di giustizia penale. </w:t>
      </w:r>
      <w:r w:rsidR="00DA4269" w:rsidRPr="00545343">
        <w:t xml:space="preserve">Per </w:t>
      </w:r>
      <w:r w:rsidR="001B3405" w:rsidRPr="00545343">
        <w:t>questo</w:t>
      </w:r>
      <w:r w:rsidR="00DA4269" w:rsidRPr="00545343">
        <w:t xml:space="preserve"> motivo gli studenti che non hanno superato la prova </w:t>
      </w:r>
      <w:r w:rsidR="001B3405" w:rsidRPr="00545343">
        <w:t xml:space="preserve">entro gli otto appelli previsti (da giugno a febbraio dell’anno successivo a quello di frequenza) dovranno attenersi al programma e alle modalità di esame del corso </w:t>
      </w:r>
      <w:r w:rsidR="00D60579" w:rsidRPr="00545343">
        <w:t xml:space="preserve">erogato nell’a.a. </w:t>
      </w:r>
      <w:r w:rsidR="001B3405" w:rsidRPr="00545343">
        <w:t xml:space="preserve">successivo. </w:t>
      </w:r>
      <w:r w:rsidRPr="00545343">
        <w:t xml:space="preserve">I temi e le domande d’esame saranno basati soprattutto su quanto discusso in classe e non è disponibile un manuale in italiano che copra tutti gli argomenti previsti dal programma. </w:t>
      </w:r>
    </w:p>
    <w:p w14:paraId="47465CB1" w14:textId="4BD500E9" w:rsidR="00690F7F" w:rsidRPr="00545343" w:rsidRDefault="00690F7F" w:rsidP="00545343">
      <w:pPr>
        <w:pStyle w:val="Testo2"/>
      </w:pPr>
      <w:r w:rsidRPr="00545343">
        <w:t>Programma aggiornato, bibliografia, istruzioni e altri documenti saranno pubblicati sulla pagina Blackboard del corso. La pagina Blackboard sarà anche lo strumento per comunicare cambi di orari, informazioni sugli esami e altro.</w:t>
      </w:r>
      <w:r w:rsidR="00124B8D" w:rsidRPr="00545343">
        <w:t xml:space="preserve"> </w:t>
      </w:r>
      <w:r w:rsidRPr="00545343">
        <w:t>Tutti gli studenti (frequentanti e non, in corso e fuori corso) sono invitati ad iscriversi al corso Blackboard e a tenersi aggiornati.</w:t>
      </w:r>
    </w:p>
    <w:p w14:paraId="715ED2BB" w14:textId="4B378F1F" w:rsidR="00690F7F" w:rsidRPr="00545343" w:rsidRDefault="00690F7F" w:rsidP="00545343">
      <w:pPr>
        <w:pStyle w:val="Testo2"/>
      </w:pPr>
      <w:r w:rsidRPr="00545343">
        <w:t xml:space="preserve">Avendo carattere introduttivo, il modulo non presenta prerequisiti riguardo ai contenuti. Si presuppone una conoscenza di base del sistema istituzionale italiano. </w:t>
      </w:r>
    </w:p>
    <w:p w14:paraId="5DC7475E" w14:textId="76DA1E24" w:rsidR="00690F7F" w:rsidRPr="00545343" w:rsidRDefault="0055748D" w:rsidP="00545343">
      <w:pPr>
        <w:pStyle w:val="Testo2"/>
        <w:spacing w:before="120"/>
        <w:rPr>
          <w:i/>
          <w:iCs/>
        </w:rPr>
      </w:pPr>
      <w:r w:rsidRPr="00545343">
        <w:rPr>
          <w:i/>
          <w:iCs/>
        </w:rPr>
        <w:t>Orario e luogo di ricevimento</w:t>
      </w:r>
    </w:p>
    <w:p w14:paraId="4109CFAB" w14:textId="27BDE2E1" w:rsidR="002D5E17" w:rsidRPr="00545343" w:rsidRDefault="00690F7F" w:rsidP="00545343">
      <w:pPr>
        <w:pStyle w:val="Testo2"/>
      </w:pPr>
      <w:r w:rsidRPr="00545343">
        <w:t>Il Prof. Francesco Calderoni riceve gli studenti su appuntamento presso gli uffici di TRANSCRIME (Via S. Vittore 43, piano interrato)</w:t>
      </w:r>
      <w:r w:rsidR="0078186F" w:rsidRPr="00545343">
        <w:t xml:space="preserve"> o in modalità telematica</w:t>
      </w:r>
      <w:r w:rsidRPr="00545343">
        <w:t>. Per appuntamento indirizzare e-mail a: francesco.calderoni@unicatt.it.</w:t>
      </w:r>
    </w:p>
    <w:sectPr w:rsidR="002D5E17" w:rsidRPr="00545343" w:rsidSect="00AF484B">
      <w:pgSz w:w="11906" w:h="16838" w:code="9"/>
      <w:pgMar w:top="3515" w:right="2608" w:bottom="2977"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754F" w14:textId="77777777" w:rsidR="00624B6D" w:rsidRDefault="00624B6D" w:rsidP="00836033">
      <w:pPr>
        <w:spacing w:line="240" w:lineRule="auto"/>
      </w:pPr>
      <w:r>
        <w:separator/>
      </w:r>
    </w:p>
  </w:endnote>
  <w:endnote w:type="continuationSeparator" w:id="0">
    <w:p w14:paraId="216D14C5" w14:textId="77777777" w:rsidR="00624B6D" w:rsidRDefault="00624B6D" w:rsidP="00836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F232" w14:textId="77777777" w:rsidR="00624B6D" w:rsidRDefault="00624B6D" w:rsidP="00836033">
      <w:pPr>
        <w:spacing w:line="240" w:lineRule="auto"/>
      </w:pPr>
      <w:r>
        <w:separator/>
      </w:r>
    </w:p>
  </w:footnote>
  <w:footnote w:type="continuationSeparator" w:id="0">
    <w:p w14:paraId="43291756" w14:textId="77777777" w:rsidR="00624B6D" w:rsidRDefault="00624B6D" w:rsidP="00836033">
      <w:pPr>
        <w:spacing w:line="240" w:lineRule="auto"/>
      </w:pPr>
      <w:r>
        <w:continuationSeparator/>
      </w:r>
    </w:p>
  </w:footnote>
  <w:footnote w:id="1">
    <w:p w14:paraId="07FAD0C9" w14:textId="6D033FEE" w:rsidR="007C0D93" w:rsidRDefault="007C0D9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073"/>
    <w:multiLevelType w:val="hybridMultilevel"/>
    <w:tmpl w:val="10C0FCC2"/>
    <w:lvl w:ilvl="0" w:tplc="E15C01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7346DA8"/>
    <w:multiLevelType w:val="hybridMultilevel"/>
    <w:tmpl w:val="3F92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4E6B"/>
    <w:multiLevelType w:val="hybridMultilevel"/>
    <w:tmpl w:val="872ADCEA"/>
    <w:lvl w:ilvl="0" w:tplc="794AAD2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0161310"/>
    <w:multiLevelType w:val="hybridMultilevel"/>
    <w:tmpl w:val="54940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A22916"/>
    <w:multiLevelType w:val="hybridMultilevel"/>
    <w:tmpl w:val="0CBE18AA"/>
    <w:lvl w:ilvl="0" w:tplc="83A0FEAE">
      <w:start w:val="1"/>
      <w:numFmt w:val="decimal"/>
      <w:lvlText w:val="%1."/>
      <w:lvlJc w:val="left"/>
      <w:pPr>
        <w:ind w:left="720" w:hanging="360"/>
      </w:pPr>
      <w:rPr>
        <w:rFonts w:ascii="Times" w:hAnsi="Times" w:cs="Time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547714"/>
    <w:multiLevelType w:val="hybridMultilevel"/>
    <w:tmpl w:val="933AAAF0"/>
    <w:lvl w:ilvl="0" w:tplc="E24ABC16">
      <w:start w:val="1"/>
      <w:numFmt w:val="decimal"/>
      <w:lvlText w:val="%1."/>
      <w:lvlJc w:val="left"/>
      <w:pPr>
        <w:ind w:left="720" w:hanging="360"/>
      </w:pPr>
      <w:rPr>
        <w:rFonts w:eastAsia="Cambria" w:hint="default"/>
        <w:sz w:val="18"/>
      </w:rPr>
    </w:lvl>
    <w:lvl w:ilvl="1" w:tplc="1ADEFC3E">
      <w:start w:val="1"/>
      <w:numFmt w:val="bullet"/>
      <w:lvlText w:val="-"/>
      <w:lvlJc w:val="left"/>
      <w:pPr>
        <w:ind w:left="1440" w:hanging="360"/>
      </w:pPr>
      <w:rPr>
        <w:rFonts w:ascii="Courier New" w:hAnsi="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D260898"/>
    <w:multiLevelType w:val="hybridMultilevel"/>
    <w:tmpl w:val="0910FD98"/>
    <w:lvl w:ilvl="0" w:tplc="729C3E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EAE6174"/>
    <w:multiLevelType w:val="hybridMultilevel"/>
    <w:tmpl w:val="51E432A8"/>
    <w:lvl w:ilvl="0" w:tplc="87BCB91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407E4F"/>
    <w:multiLevelType w:val="hybridMultilevel"/>
    <w:tmpl w:val="BA8C00F6"/>
    <w:lvl w:ilvl="0" w:tplc="3BBC1152">
      <w:start w:val="1"/>
      <w:numFmt w:val="decimal"/>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2518CA"/>
    <w:multiLevelType w:val="hybridMultilevel"/>
    <w:tmpl w:val="2BF253DA"/>
    <w:lvl w:ilvl="0" w:tplc="C6F421C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6DF935BF"/>
    <w:multiLevelType w:val="hybridMultilevel"/>
    <w:tmpl w:val="A28E9F42"/>
    <w:lvl w:ilvl="0" w:tplc="381C15EE">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1725C2"/>
    <w:multiLevelType w:val="hybridMultilevel"/>
    <w:tmpl w:val="6B840C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769E5F4F"/>
    <w:multiLevelType w:val="hybridMultilevel"/>
    <w:tmpl w:val="49A49368"/>
    <w:lvl w:ilvl="0" w:tplc="FDECEC8C">
      <w:start w:val="4"/>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7F305B1"/>
    <w:multiLevelType w:val="hybridMultilevel"/>
    <w:tmpl w:val="BD120458"/>
    <w:lvl w:ilvl="0" w:tplc="5B0A01A6">
      <w:start w:val="2"/>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310E92"/>
    <w:multiLevelType w:val="hybridMultilevel"/>
    <w:tmpl w:val="71F0A78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7C5D57BA"/>
    <w:multiLevelType w:val="hybridMultilevel"/>
    <w:tmpl w:val="478E6C18"/>
    <w:lvl w:ilvl="0" w:tplc="49E43AF2">
      <w:start w:val="1"/>
      <w:numFmt w:val="decimal"/>
      <w:lvlText w:val="%1."/>
      <w:lvlJc w:val="left"/>
      <w:pPr>
        <w:ind w:left="360" w:hanging="360"/>
      </w:pPr>
      <w:rPr>
        <w:rFonts w:hint="default"/>
        <w:i w:val="0"/>
        <w14:ligatures w14:val="standard"/>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F397B97"/>
    <w:multiLevelType w:val="hybridMultilevel"/>
    <w:tmpl w:val="CC0227AE"/>
    <w:lvl w:ilvl="0" w:tplc="18829272">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82002543">
    <w:abstractNumId w:val="8"/>
  </w:num>
  <w:num w:numId="2" w16cid:durableId="1705206877">
    <w:abstractNumId w:val="13"/>
  </w:num>
  <w:num w:numId="3" w16cid:durableId="1472865143">
    <w:abstractNumId w:val="6"/>
  </w:num>
  <w:num w:numId="4" w16cid:durableId="1716465354">
    <w:abstractNumId w:val="5"/>
  </w:num>
  <w:num w:numId="5" w16cid:durableId="359937624">
    <w:abstractNumId w:val="11"/>
  </w:num>
  <w:num w:numId="6" w16cid:durableId="1970545627">
    <w:abstractNumId w:val="16"/>
  </w:num>
  <w:num w:numId="7" w16cid:durableId="599340743">
    <w:abstractNumId w:val="3"/>
  </w:num>
  <w:num w:numId="8" w16cid:durableId="510797277">
    <w:abstractNumId w:val="14"/>
  </w:num>
  <w:num w:numId="9" w16cid:durableId="872496173">
    <w:abstractNumId w:val="1"/>
  </w:num>
  <w:num w:numId="10" w16cid:durableId="681400165">
    <w:abstractNumId w:val="0"/>
  </w:num>
  <w:num w:numId="11" w16cid:durableId="1736782131">
    <w:abstractNumId w:val="2"/>
  </w:num>
  <w:num w:numId="12" w16cid:durableId="1615289318">
    <w:abstractNumId w:val="10"/>
  </w:num>
  <w:num w:numId="13" w16cid:durableId="699669360">
    <w:abstractNumId w:val="7"/>
  </w:num>
  <w:num w:numId="14" w16cid:durableId="1250192585">
    <w:abstractNumId w:val="12"/>
  </w:num>
  <w:num w:numId="15" w16cid:durableId="1703286288">
    <w:abstractNumId w:val="15"/>
  </w:num>
  <w:num w:numId="16" w16cid:durableId="519927483">
    <w:abstractNumId w:val="4"/>
  </w:num>
  <w:num w:numId="17" w16cid:durableId="1572471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7F"/>
    <w:rsid w:val="0003685C"/>
    <w:rsid w:val="000A5A98"/>
    <w:rsid w:val="000D0AB6"/>
    <w:rsid w:val="00124B8D"/>
    <w:rsid w:val="00143435"/>
    <w:rsid w:val="00164B9E"/>
    <w:rsid w:val="00176E42"/>
    <w:rsid w:val="00187B99"/>
    <w:rsid w:val="001B3405"/>
    <w:rsid w:val="001E1FE7"/>
    <w:rsid w:val="001E6C1A"/>
    <w:rsid w:val="001F419E"/>
    <w:rsid w:val="002014DD"/>
    <w:rsid w:val="002056D7"/>
    <w:rsid w:val="00215AC3"/>
    <w:rsid w:val="00232183"/>
    <w:rsid w:val="00244DA3"/>
    <w:rsid w:val="0027252D"/>
    <w:rsid w:val="002B0421"/>
    <w:rsid w:val="002C0344"/>
    <w:rsid w:val="002C7D67"/>
    <w:rsid w:val="002D0055"/>
    <w:rsid w:val="002D5E17"/>
    <w:rsid w:val="00330771"/>
    <w:rsid w:val="003531BE"/>
    <w:rsid w:val="003664E0"/>
    <w:rsid w:val="00375043"/>
    <w:rsid w:val="003D5B55"/>
    <w:rsid w:val="003E0D05"/>
    <w:rsid w:val="0040536A"/>
    <w:rsid w:val="0042013B"/>
    <w:rsid w:val="00457B2C"/>
    <w:rsid w:val="00481505"/>
    <w:rsid w:val="004D1217"/>
    <w:rsid w:val="004D6008"/>
    <w:rsid w:val="00524CF3"/>
    <w:rsid w:val="00545343"/>
    <w:rsid w:val="00554F8D"/>
    <w:rsid w:val="0055748D"/>
    <w:rsid w:val="00565ED1"/>
    <w:rsid w:val="005811E5"/>
    <w:rsid w:val="005B0E32"/>
    <w:rsid w:val="005D487E"/>
    <w:rsid w:val="0060706D"/>
    <w:rsid w:val="00624B6D"/>
    <w:rsid w:val="00640794"/>
    <w:rsid w:val="00690F7F"/>
    <w:rsid w:val="0069742C"/>
    <w:rsid w:val="006D275C"/>
    <w:rsid w:val="006F1772"/>
    <w:rsid w:val="00720827"/>
    <w:rsid w:val="00731667"/>
    <w:rsid w:val="00772ABF"/>
    <w:rsid w:val="0078186F"/>
    <w:rsid w:val="00790659"/>
    <w:rsid w:val="0079671A"/>
    <w:rsid w:val="007A7417"/>
    <w:rsid w:val="007C0D93"/>
    <w:rsid w:val="007D7074"/>
    <w:rsid w:val="00810067"/>
    <w:rsid w:val="00836033"/>
    <w:rsid w:val="008538F2"/>
    <w:rsid w:val="00881A83"/>
    <w:rsid w:val="008832E2"/>
    <w:rsid w:val="00887636"/>
    <w:rsid w:val="008942E7"/>
    <w:rsid w:val="008A1204"/>
    <w:rsid w:val="008B4BCC"/>
    <w:rsid w:val="008B70BD"/>
    <w:rsid w:val="00900CCA"/>
    <w:rsid w:val="00924B77"/>
    <w:rsid w:val="00940DA2"/>
    <w:rsid w:val="00963035"/>
    <w:rsid w:val="00966F5C"/>
    <w:rsid w:val="00985F13"/>
    <w:rsid w:val="009905CB"/>
    <w:rsid w:val="00991114"/>
    <w:rsid w:val="009C5954"/>
    <w:rsid w:val="009E055C"/>
    <w:rsid w:val="00A74F6F"/>
    <w:rsid w:val="00A8242B"/>
    <w:rsid w:val="00AB01EC"/>
    <w:rsid w:val="00AC332E"/>
    <w:rsid w:val="00AD7557"/>
    <w:rsid w:val="00AF484B"/>
    <w:rsid w:val="00B073DF"/>
    <w:rsid w:val="00B50C5D"/>
    <w:rsid w:val="00B51253"/>
    <w:rsid w:val="00B525CC"/>
    <w:rsid w:val="00B97025"/>
    <w:rsid w:val="00BB46BF"/>
    <w:rsid w:val="00BD2DF2"/>
    <w:rsid w:val="00C32DCD"/>
    <w:rsid w:val="00C67325"/>
    <w:rsid w:val="00CA5BD1"/>
    <w:rsid w:val="00CB6579"/>
    <w:rsid w:val="00CF41C1"/>
    <w:rsid w:val="00D02C62"/>
    <w:rsid w:val="00D3052C"/>
    <w:rsid w:val="00D36E2B"/>
    <w:rsid w:val="00D375C8"/>
    <w:rsid w:val="00D404F2"/>
    <w:rsid w:val="00D60579"/>
    <w:rsid w:val="00D61F0C"/>
    <w:rsid w:val="00D75B04"/>
    <w:rsid w:val="00D94CE9"/>
    <w:rsid w:val="00DA39A9"/>
    <w:rsid w:val="00DA4269"/>
    <w:rsid w:val="00DA6DF8"/>
    <w:rsid w:val="00DF0C18"/>
    <w:rsid w:val="00E33666"/>
    <w:rsid w:val="00E4637B"/>
    <w:rsid w:val="00E607E6"/>
    <w:rsid w:val="00E73AEE"/>
    <w:rsid w:val="00E961FB"/>
    <w:rsid w:val="00EB3DD2"/>
    <w:rsid w:val="00EB577C"/>
    <w:rsid w:val="00EB6F1C"/>
    <w:rsid w:val="00F261FA"/>
    <w:rsid w:val="00F462D0"/>
    <w:rsid w:val="00F762DF"/>
    <w:rsid w:val="00F975A5"/>
    <w:rsid w:val="00FB1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066A4"/>
  <w15:docId w15:val="{20FEF45B-D429-404B-BCF2-2D3F98C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90F7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90F7F"/>
    <w:pPr>
      <w:ind w:left="720"/>
      <w:contextualSpacing/>
    </w:pPr>
  </w:style>
  <w:style w:type="character" w:styleId="Rimandocommento">
    <w:name w:val="annotation reference"/>
    <w:basedOn w:val="Carpredefinitoparagrafo"/>
    <w:rsid w:val="00375043"/>
    <w:rPr>
      <w:sz w:val="16"/>
      <w:szCs w:val="16"/>
    </w:rPr>
  </w:style>
  <w:style w:type="paragraph" w:styleId="Testocommento">
    <w:name w:val="annotation text"/>
    <w:basedOn w:val="Normale"/>
    <w:link w:val="TestocommentoCarattere"/>
    <w:rsid w:val="00375043"/>
    <w:pPr>
      <w:spacing w:line="240" w:lineRule="auto"/>
    </w:pPr>
    <w:rPr>
      <w:szCs w:val="20"/>
    </w:rPr>
  </w:style>
  <w:style w:type="character" w:customStyle="1" w:styleId="TestocommentoCarattere">
    <w:name w:val="Testo commento Carattere"/>
    <w:basedOn w:val="Carpredefinitoparagrafo"/>
    <w:link w:val="Testocommento"/>
    <w:rsid w:val="00375043"/>
  </w:style>
  <w:style w:type="paragraph" w:styleId="Soggettocommento">
    <w:name w:val="annotation subject"/>
    <w:basedOn w:val="Testocommento"/>
    <w:next w:val="Testocommento"/>
    <w:link w:val="SoggettocommentoCarattere"/>
    <w:rsid w:val="00375043"/>
    <w:rPr>
      <w:b/>
      <w:bCs/>
    </w:rPr>
  </w:style>
  <w:style w:type="character" w:customStyle="1" w:styleId="SoggettocommentoCarattere">
    <w:name w:val="Soggetto commento Carattere"/>
    <w:basedOn w:val="TestocommentoCarattere"/>
    <w:link w:val="Soggettocommento"/>
    <w:rsid w:val="00375043"/>
    <w:rPr>
      <w:b/>
      <w:bCs/>
    </w:rPr>
  </w:style>
  <w:style w:type="paragraph" w:styleId="Testofumetto">
    <w:name w:val="Balloon Text"/>
    <w:basedOn w:val="Normale"/>
    <w:link w:val="TestofumettoCarattere"/>
    <w:rsid w:val="003750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75043"/>
    <w:rPr>
      <w:rFonts w:ascii="Segoe UI" w:hAnsi="Segoe UI" w:cs="Segoe UI"/>
      <w:sz w:val="18"/>
      <w:szCs w:val="18"/>
    </w:rPr>
  </w:style>
  <w:style w:type="paragraph" w:styleId="Testonotaapidipagina">
    <w:name w:val="footnote text"/>
    <w:basedOn w:val="Normale"/>
    <w:link w:val="TestonotaapidipaginaCarattere"/>
    <w:rsid w:val="00836033"/>
    <w:pPr>
      <w:spacing w:line="240" w:lineRule="auto"/>
    </w:pPr>
    <w:rPr>
      <w:szCs w:val="20"/>
    </w:rPr>
  </w:style>
  <w:style w:type="character" w:customStyle="1" w:styleId="TestonotaapidipaginaCarattere">
    <w:name w:val="Testo nota a piè di pagina Carattere"/>
    <w:basedOn w:val="Carpredefinitoparagrafo"/>
    <w:link w:val="Testonotaapidipagina"/>
    <w:rsid w:val="00836033"/>
  </w:style>
  <w:style w:type="character" w:styleId="Rimandonotaapidipagina">
    <w:name w:val="footnote reference"/>
    <w:basedOn w:val="Carpredefinitoparagrafo"/>
    <w:rsid w:val="00836033"/>
    <w:rPr>
      <w:vertAlign w:val="superscript"/>
    </w:rPr>
  </w:style>
  <w:style w:type="character" w:styleId="Collegamentoipertestuale">
    <w:name w:val="Hyperlink"/>
    <w:basedOn w:val="Carpredefinitoparagrafo"/>
    <w:unhideWhenUsed/>
    <w:rsid w:val="00CA5BD1"/>
    <w:rPr>
      <w:color w:val="0563C1" w:themeColor="hyperlink"/>
      <w:u w:val="single"/>
    </w:rPr>
  </w:style>
  <w:style w:type="character" w:customStyle="1" w:styleId="Menzionenonrisolta1">
    <w:name w:val="Menzione non risolta1"/>
    <w:basedOn w:val="Carpredefinitoparagrafo"/>
    <w:uiPriority w:val="99"/>
    <w:semiHidden/>
    <w:unhideWhenUsed/>
    <w:rsid w:val="00CA5BD1"/>
    <w:rPr>
      <w:color w:val="605E5C"/>
      <w:shd w:val="clear" w:color="auto" w:fill="E1DFDD"/>
    </w:rPr>
  </w:style>
  <w:style w:type="paragraph" w:styleId="Revisione">
    <w:name w:val="Revision"/>
    <w:hidden/>
    <w:uiPriority w:val="99"/>
    <w:semiHidden/>
    <w:rsid w:val="00C32DCD"/>
    <w:rPr>
      <w:szCs w:val="24"/>
    </w:rPr>
  </w:style>
  <w:style w:type="character" w:styleId="Menzionenonrisolta">
    <w:name w:val="Unresolved Mention"/>
    <w:basedOn w:val="Carpredefinitoparagrafo"/>
    <w:uiPriority w:val="99"/>
    <w:semiHidden/>
    <w:unhideWhenUsed/>
    <w:rsid w:val="007C0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zio-barbagli-asher-colombo-ernesto-savona/sociologia-della-devianza-9788815095336-2083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mancuso@unicatt.it" TargetMode="External"/><Relationship Id="rId5" Type="http://schemas.openxmlformats.org/officeDocument/2006/relationships/webSettings" Target="webSettings.xml"/><Relationship Id="rId10" Type="http://schemas.openxmlformats.org/officeDocument/2006/relationships/hyperlink" Target="https://librerie.unicatt.it/scheda-libro/frank-p-williams-marilyn-d-mcshane/devianza-e-criminalita-9788815088673-242667.html" TargetMode="External"/><Relationship Id="rId4" Type="http://schemas.openxmlformats.org/officeDocument/2006/relationships/settings" Target="settings.xml"/><Relationship Id="rId9" Type="http://schemas.openxmlformats.org/officeDocument/2006/relationships/hyperlink" Target="https://librerie.unicatt.it/scheda-libro/franco-prina/devianza-e-criminalita-concetti-metodi-di-ricerca-cause-politiche-9788843095179-5580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1B1E-D19A-452C-82D2-A26FDA0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6</Pages>
  <Words>2146</Words>
  <Characters>13001</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2023-05-08T06:50:00Z</dcterms:created>
  <dcterms:modified xsi:type="dcterms:W3CDTF">2023-07-05T12:19:00Z</dcterms:modified>
</cp:coreProperties>
</file>