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6B009844" w:rsidR="00296CF2" w:rsidRPr="000C5DC4" w:rsidRDefault="00296CF2" w:rsidP="00296CF2">
      <w:pPr>
        <w:pStyle w:val="Titolo2"/>
        <w:rPr>
          <w:lang w:val="en-US"/>
        </w:rPr>
      </w:pPr>
      <w:r w:rsidRPr="000C5DC4">
        <w:rPr>
          <w:lang w:val="en-GB"/>
        </w:rPr>
        <w:t xml:space="preserve">Prof. </w:t>
      </w:r>
      <w:r w:rsidRPr="000C5DC4">
        <w:rPr>
          <w:lang w:val="en-US"/>
        </w:rPr>
        <w:t>Ma</w:t>
      </w:r>
      <w:r w:rsidR="0049463F" w:rsidRPr="000C5DC4">
        <w:rPr>
          <w:lang w:val="en-US"/>
        </w:rPr>
        <w:t>tteo Ceolotto</w:t>
      </w:r>
      <w:r w:rsidRPr="000C5DC4">
        <w:rPr>
          <w:lang w:val="en-US"/>
        </w:rPr>
        <w:t xml:space="preserve">; Prof. </w:t>
      </w:r>
      <w:r w:rsidR="00671548" w:rsidRPr="000C5DC4">
        <w:rPr>
          <w:lang w:val="en-US"/>
        </w:rPr>
        <w:t>Luca Lionello</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i.e.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lastRenderedPageBreak/>
        <w:t>EU Law</w:t>
      </w:r>
      <w:r w:rsidRPr="005959E6">
        <w:rPr>
          <w:szCs w:val="20"/>
          <w:lang w:val="en-US"/>
        </w:rPr>
        <w:t xml:space="preserve"> (20 hours)</w:t>
      </w:r>
    </w:p>
    <w:p w14:paraId="5998A15A" w14:textId="464C37D6" w:rsidR="00296CF2" w:rsidRPr="005959E6" w:rsidRDefault="00296CF2" w:rsidP="00296CF2">
      <w:pPr>
        <w:rPr>
          <w:szCs w:val="20"/>
          <w:lang w:val="en-US"/>
        </w:rPr>
      </w:pPr>
      <w:r w:rsidRPr="005959E6">
        <w:rPr>
          <w:szCs w:val="20"/>
          <w:lang w:val="en-US"/>
        </w:rPr>
        <w:t>The second part of the course will offer an insight into the Law of the European Union, covering the following topics:</w:t>
      </w:r>
    </w:p>
    <w:p w14:paraId="4F72EA03" w14:textId="7C6A82AA" w:rsidR="00296CF2" w:rsidRPr="005959E6" w:rsidRDefault="00296CF2" w:rsidP="00296CF2">
      <w:pPr>
        <w:rPr>
          <w:szCs w:val="20"/>
          <w:lang w:val="en-US"/>
        </w:rPr>
      </w:pPr>
      <w:r>
        <w:rPr>
          <w:szCs w:val="20"/>
          <w:lang w:val="en-US"/>
        </w:rPr>
        <w:t>1)</w:t>
      </w:r>
      <w:r>
        <w:rPr>
          <w:szCs w:val="20"/>
          <w:lang w:val="en-US"/>
        </w:rPr>
        <w:tab/>
      </w:r>
      <w:r w:rsidRPr="005959E6">
        <w:rPr>
          <w:szCs w:val="20"/>
          <w:lang w:val="en-US"/>
        </w:rPr>
        <w:t xml:space="preserve">The </w:t>
      </w:r>
      <w:r w:rsidR="00671548">
        <w:rPr>
          <w:szCs w:val="20"/>
          <w:lang w:val="en-US"/>
        </w:rPr>
        <w:t>process of European integration</w:t>
      </w:r>
      <w:r>
        <w:rPr>
          <w:szCs w:val="20"/>
          <w:lang w:val="en-US"/>
        </w:rPr>
        <w:t>.</w:t>
      </w:r>
    </w:p>
    <w:p w14:paraId="068859A6" w14:textId="628A3751"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w:t>
      </w:r>
      <w:r w:rsidR="00173E47">
        <w:rPr>
          <w:szCs w:val="20"/>
          <w:lang w:val="en-US"/>
        </w:rPr>
        <w:t xml:space="preserve"> EU</w:t>
      </w:r>
      <w:r w:rsidRPr="005959E6">
        <w:rPr>
          <w:szCs w:val="20"/>
          <w:lang w:val="en-US"/>
        </w:rPr>
        <w:t xml:space="preserv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48F9E11F"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353E4B89" w14:textId="1E059A45" w:rsidR="00671548" w:rsidRDefault="00671548" w:rsidP="00296CF2">
      <w:pPr>
        <w:rPr>
          <w:szCs w:val="20"/>
          <w:lang w:val="en-US"/>
        </w:rPr>
      </w:pPr>
      <w:r>
        <w:rPr>
          <w:szCs w:val="20"/>
          <w:lang w:val="en-US"/>
        </w:rPr>
        <w:t>5)  Selected issues of EU law.</w:t>
      </w:r>
    </w:p>
    <w:p w14:paraId="024B8340" w14:textId="67F5C826" w:rsidR="00296CF2" w:rsidRPr="00514034" w:rsidRDefault="00296CF2" w:rsidP="00296CF2">
      <w:pPr>
        <w:spacing w:before="240" w:after="120"/>
        <w:rPr>
          <w:b/>
          <w:i/>
          <w:sz w:val="18"/>
          <w:lang w:val="en-US"/>
        </w:rPr>
      </w:pPr>
      <w:r w:rsidRPr="00514034">
        <w:rPr>
          <w:b/>
          <w:i/>
          <w:sz w:val="18"/>
          <w:lang w:val="en-US"/>
        </w:rPr>
        <w:t>READING LIST</w:t>
      </w:r>
      <w:r w:rsidR="00404EB7">
        <w:rPr>
          <w:rStyle w:val="Rimandonotaapidipagina"/>
          <w:b/>
          <w:i/>
          <w:sz w:val="18"/>
          <w:lang w:val="en-US"/>
        </w:rPr>
        <w:footnoteReference w:id="1"/>
      </w:r>
    </w:p>
    <w:p w14:paraId="25F6CEC5" w14:textId="77777777" w:rsidR="00296CF2" w:rsidRPr="00B01713" w:rsidRDefault="00296CF2" w:rsidP="00296CF2">
      <w:pPr>
        <w:pStyle w:val="Testo1"/>
        <w:rPr>
          <w:i/>
          <w:lang w:val="en-US"/>
        </w:rPr>
      </w:pPr>
      <w:r w:rsidRPr="00B01713">
        <w:rPr>
          <w:i/>
          <w:lang w:val="en-US"/>
        </w:rPr>
        <w:t>International Law</w:t>
      </w:r>
    </w:p>
    <w:p w14:paraId="08672EF8" w14:textId="7503F077" w:rsidR="00296CF2" w:rsidRPr="00B01713" w:rsidRDefault="00D231B8" w:rsidP="00296CF2">
      <w:pPr>
        <w:pStyle w:val="Testo1"/>
        <w:spacing w:before="0"/>
        <w:rPr>
          <w:lang w:val="en-US"/>
        </w:rPr>
      </w:pPr>
      <w:r>
        <w:rPr>
          <w:lang w:val="en-US"/>
        </w:rPr>
        <w:t xml:space="preserve">The textbook for </w:t>
      </w:r>
      <w:r w:rsidRPr="000C5DC4">
        <w:rPr>
          <w:u w:val="single"/>
          <w:lang w:val="en-US"/>
        </w:rPr>
        <w:t>attending students</w:t>
      </w:r>
      <w:r w:rsidRPr="000C5DC4">
        <w:rPr>
          <w:lang w:val="en-US"/>
        </w:rPr>
        <w:t xml:space="preserve"> is </w:t>
      </w:r>
      <w:r w:rsidR="009A6817" w:rsidRPr="000C5DC4">
        <w:rPr>
          <w:smallCaps/>
          <w:lang w:val="en-US"/>
        </w:rPr>
        <w:t xml:space="preserve">A. Tanzi, </w:t>
      </w:r>
      <w:r w:rsidR="009A6817" w:rsidRPr="000C5DC4">
        <w:rPr>
          <w:i/>
          <w:iCs/>
          <w:lang w:val="en-US"/>
        </w:rPr>
        <w:t xml:space="preserve">A </w:t>
      </w:r>
      <w:r w:rsidR="000541F9" w:rsidRPr="000C5DC4">
        <w:rPr>
          <w:i/>
          <w:iCs/>
          <w:lang w:val="en-US"/>
        </w:rPr>
        <w:t>C</w:t>
      </w:r>
      <w:r w:rsidR="009A6817" w:rsidRPr="000C5DC4">
        <w:rPr>
          <w:i/>
          <w:iCs/>
          <w:lang w:val="en-US"/>
        </w:rPr>
        <w:t>oncise Introduction to International Law</w:t>
      </w:r>
      <w:r w:rsidR="009A6817" w:rsidRPr="000C5DC4">
        <w:rPr>
          <w:smallCaps/>
          <w:lang w:val="en-US"/>
        </w:rPr>
        <w:t xml:space="preserve">, </w:t>
      </w:r>
      <w:r w:rsidR="009A6817" w:rsidRPr="000C5DC4">
        <w:rPr>
          <w:lang w:val="en-US"/>
        </w:rPr>
        <w:t>Giappichelli</w:t>
      </w:r>
      <w:r w:rsidR="009A6817" w:rsidRPr="000C5DC4">
        <w:rPr>
          <w:smallCaps/>
          <w:lang w:val="en-US"/>
        </w:rPr>
        <w:t>,</w:t>
      </w:r>
      <w:r w:rsidR="009A6817" w:rsidRPr="000C5DC4">
        <w:rPr>
          <w:lang w:val="en-US"/>
        </w:rPr>
        <w:t xml:space="preserve"> </w:t>
      </w:r>
      <w:r w:rsidR="009C7E3A" w:rsidRPr="000C5DC4">
        <w:rPr>
          <w:lang w:val="en-US"/>
        </w:rPr>
        <w:t>2022, II edn</w:t>
      </w:r>
      <w:r w:rsidRPr="000C5DC4">
        <w:rPr>
          <w:lang w:val="en-US"/>
        </w:rPr>
        <w:t>. Further details on the relevant chapters and paragraphs will eventually be made explict</w:t>
      </w:r>
      <w:r>
        <w:rPr>
          <w:lang w:val="en-US"/>
        </w:rPr>
        <w:t xml:space="preserve"> on the Blackboard page of the course. </w:t>
      </w:r>
      <w:r w:rsidR="00296CF2" w:rsidRPr="00B01713">
        <w:rPr>
          <w:lang w:val="en-US"/>
        </w:rPr>
        <w:t xml:space="preserve">Attending students will </w:t>
      </w:r>
      <w:r>
        <w:rPr>
          <w:lang w:val="en-US"/>
        </w:rPr>
        <w:t xml:space="preserve">also </w:t>
      </w:r>
      <w:r w:rsidR="00296CF2" w:rsidRPr="00B01713">
        <w:rPr>
          <w:lang w:val="en-US"/>
        </w:rPr>
        <w:t xml:space="preserve">be required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r w:rsidR="00404EB7">
        <w:rPr>
          <w:lang w:val="en-US"/>
        </w:rPr>
        <w:t xml:space="preserve"> </w:t>
      </w:r>
      <w:hyperlink r:id="rId7" w:history="1">
        <w:r w:rsidR="00404EB7" w:rsidRPr="00404EB7">
          <w:rPr>
            <w:rStyle w:val="Collegamentoipertestuale"/>
            <w:rFonts w:ascii="Times New Roman" w:hAnsi="Times New Roman"/>
            <w:i/>
            <w:szCs w:val="18"/>
          </w:rPr>
          <w:t>Acquista da VP</w:t>
        </w:r>
      </w:hyperlink>
    </w:p>
    <w:p w14:paraId="79AE293A" w14:textId="24FEDC01"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 </w:t>
      </w:r>
      <w:r w:rsidR="00D231B8" w:rsidRPr="00D231B8">
        <w:rPr>
          <w:smallCaps/>
          <w:spacing w:val="-5"/>
          <w:sz w:val="16"/>
          <w:lang w:val="en-US"/>
        </w:rPr>
        <w:t>P</w:t>
      </w:r>
      <w:r w:rsidR="00D231B8">
        <w:rPr>
          <w:smallCaps/>
          <w:spacing w:val="-5"/>
          <w:sz w:val="16"/>
          <w:lang w:val="en-US"/>
        </w:rPr>
        <w:t>.</w:t>
      </w:r>
      <w:r w:rsidR="00D231B8" w:rsidRPr="00D231B8">
        <w:rPr>
          <w:smallCaps/>
          <w:spacing w:val="-5"/>
          <w:sz w:val="16"/>
          <w:lang w:val="en-US"/>
        </w:rPr>
        <w:t xml:space="preserve"> Gaeta</w:t>
      </w:r>
      <w:r w:rsidR="001D01DF">
        <w:rPr>
          <w:smallCaps/>
          <w:spacing w:val="-5"/>
          <w:sz w:val="16"/>
          <w:lang w:val="en-US"/>
        </w:rPr>
        <w:t>-</w:t>
      </w:r>
      <w:r w:rsidR="00D231B8" w:rsidRPr="00D231B8">
        <w:rPr>
          <w:smallCaps/>
          <w:spacing w:val="-5"/>
          <w:sz w:val="16"/>
          <w:lang w:val="en-US"/>
        </w:rPr>
        <w:t>J</w:t>
      </w:r>
      <w:r w:rsidR="00D231B8">
        <w:rPr>
          <w:smallCaps/>
          <w:spacing w:val="-5"/>
          <w:sz w:val="16"/>
          <w:lang w:val="en-US"/>
        </w:rPr>
        <w:t>.</w:t>
      </w:r>
      <w:r w:rsidR="00D231B8" w:rsidRPr="00D231B8">
        <w:rPr>
          <w:smallCaps/>
          <w:spacing w:val="-5"/>
          <w:sz w:val="16"/>
          <w:lang w:val="en-US"/>
        </w:rPr>
        <w:t>E. Viñuales</w:t>
      </w:r>
      <w:r w:rsidR="001D01DF">
        <w:rPr>
          <w:smallCaps/>
          <w:spacing w:val="-5"/>
          <w:sz w:val="16"/>
          <w:lang w:val="en-US"/>
        </w:rPr>
        <w:t>-</w:t>
      </w:r>
      <w:r w:rsidR="00D231B8" w:rsidRPr="00D231B8">
        <w:rPr>
          <w:smallCaps/>
          <w:spacing w:val="-5"/>
          <w:sz w:val="16"/>
          <w:lang w:val="en-US"/>
        </w:rPr>
        <w:t>S</w:t>
      </w:r>
      <w:r w:rsidR="003676DE">
        <w:rPr>
          <w:smallCaps/>
          <w:spacing w:val="-5"/>
          <w:sz w:val="16"/>
          <w:lang w:val="en-US"/>
        </w:rPr>
        <w:t xml:space="preserve">. </w:t>
      </w:r>
      <w:r w:rsidR="00D231B8" w:rsidRPr="00D231B8">
        <w:rPr>
          <w:smallCaps/>
          <w:spacing w:val="-5"/>
          <w:sz w:val="16"/>
          <w:lang w:val="en-US"/>
        </w:rPr>
        <w:t>Zappalá</w:t>
      </w:r>
      <w:r w:rsidRPr="00B01713">
        <w:rPr>
          <w:smallCaps/>
          <w:spacing w:val="-5"/>
          <w:sz w:val="16"/>
          <w:lang w:val="en-US"/>
        </w:rPr>
        <w:t>,</w:t>
      </w:r>
      <w:r w:rsidRPr="00B01713">
        <w:rPr>
          <w:i/>
          <w:spacing w:val="-5"/>
          <w:lang w:val="en-US"/>
        </w:rPr>
        <w:t xml:space="preserve"> </w:t>
      </w:r>
      <w:r w:rsidR="00D231B8">
        <w:rPr>
          <w:i/>
          <w:spacing w:val="-5"/>
          <w:lang w:val="en-US"/>
        </w:rPr>
        <w:t xml:space="preserve">Cassese’s </w:t>
      </w:r>
      <w:r w:rsidRPr="00B01713">
        <w:rPr>
          <w:i/>
          <w:spacing w:val="-5"/>
          <w:lang w:val="en-US"/>
        </w:rPr>
        <w:t>International Law,</w:t>
      </w:r>
      <w:r w:rsidRPr="00B01713">
        <w:rPr>
          <w:spacing w:val="-5"/>
          <w:lang w:val="en-US"/>
        </w:rPr>
        <w:t xml:space="preserve"> </w:t>
      </w:r>
      <w:r w:rsidR="003676DE">
        <w:rPr>
          <w:spacing w:val="-5"/>
          <w:lang w:val="en-US"/>
        </w:rPr>
        <w:t>OUP</w:t>
      </w:r>
      <w:r w:rsidRPr="00B01713">
        <w:rPr>
          <w:spacing w:val="-5"/>
          <w:lang w:val="en-US"/>
        </w:rPr>
        <w:t xml:space="preserve">, </w:t>
      </w:r>
      <w:r w:rsidR="003676DE">
        <w:rPr>
          <w:spacing w:val="-5"/>
          <w:lang w:val="en-US"/>
        </w:rPr>
        <w:t>2020, III edn.</w:t>
      </w:r>
    </w:p>
    <w:p w14:paraId="297091C7" w14:textId="77777777" w:rsidR="00296CF2" w:rsidRPr="00B01713" w:rsidRDefault="00296CF2" w:rsidP="00296CF2">
      <w:pPr>
        <w:pStyle w:val="Testo1"/>
        <w:rPr>
          <w:i/>
          <w:lang w:val="en-US"/>
        </w:rPr>
      </w:pPr>
      <w:r w:rsidRPr="00B01713">
        <w:rPr>
          <w:i/>
          <w:lang w:val="en-US"/>
        </w:rPr>
        <w:t>EU Law</w:t>
      </w:r>
    </w:p>
    <w:p w14:paraId="5E9554EF" w14:textId="7954B77A" w:rsidR="00296CF2" w:rsidRPr="00B01713" w:rsidRDefault="00683ED3" w:rsidP="00795D25">
      <w:pPr>
        <w:pStyle w:val="Testo1"/>
        <w:spacing w:before="0"/>
        <w:rPr>
          <w:lang w:val="en-US"/>
        </w:rPr>
      </w:pPr>
      <w:r>
        <w:rPr>
          <w:lang w:val="en-US"/>
        </w:rPr>
        <w:t>In preparation for the exam a</w:t>
      </w:r>
      <w:r w:rsidR="00296CF2" w:rsidRPr="00B01713">
        <w:rPr>
          <w:lang w:val="en-US"/>
        </w:rPr>
        <w:t xml:space="preserve">ttending students will be required </w:t>
      </w:r>
      <w:r>
        <w:rPr>
          <w:lang w:val="en-US"/>
        </w:rPr>
        <w:t>to revise</w:t>
      </w:r>
      <w:r w:rsidR="00296CF2" w:rsidRPr="00B01713">
        <w:rPr>
          <w:lang w:val="en-US"/>
        </w:rPr>
        <w:t xml:space="preserve"> their own notes </w:t>
      </w:r>
      <w:r>
        <w:rPr>
          <w:lang w:val="en-US"/>
        </w:rPr>
        <w:t>and to study</w:t>
      </w:r>
      <w:r w:rsidR="00296CF2" w:rsidRPr="00B01713">
        <w:rPr>
          <w:lang w:val="en-US"/>
        </w:rPr>
        <w:t xml:space="preserve"> the materials</w:t>
      </w:r>
      <w:r>
        <w:rPr>
          <w:lang w:val="en-US"/>
        </w:rPr>
        <w:t>,</w:t>
      </w:r>
      <w:r w:rsidR="00296CF2" w:rsidRPr="00B01713">
        <w:rPr>
          <w:lang w:val="en-US"/>
        </w:rPr>
        <w:t xml:space="preserve"> which will be made available through the Blackboard page of the course.</w:t>
      </w:r>
    </w:p>
    <w:p w14:paraId="66DC78B1" w14:textId="6F79180C" w:rsidR="00296CF2" w:rsidRPr="000C5DC4" w:rsidRDefault="00296CF2" w:rsidP="000C5DC4">
      <w:pPr>
        <w:pStyle w:val="Testo1"/>
        <w:spacing w:before="0" w:line="240" w:lineRule="atLeast"/>
        <w:rPr>
          <w:lang w:val="en-US"/>
        </w:rPr>
      </w:pPr>
      <w:r w:rsidRPr="00B01713">
        <w:rPr>
          <w:lang w:val="en-US"/>
        </w:rPr>
        <w:t>Non attending students will be required to prepare for the exam on</w:t>
      </w:r>
      <w:r w:rsidR="000C5DC4">
        <w:rPr>
          <w:lang w:val="en-US"/>
        </w:rPr>
        <w:t>:</w:t>
      </w:r>
      <w:r w:rsidRPr="00B01713">
        <w:rPr>
          <w:lang w:val="en-US"/>
        </w:rPr>
        <w:t xml:space="preserve"> </w:t>
      </w: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w:t>
      </w:r>
      <w:r w:rsidR="00D74BDA">
        <w:rPr>
          <w:spacing w:val="-5"/>
          <w:lang w:val="en-US"/>
        </w:rPr>
        <w:t>7</w:t>
      </w:r>
      <w:r w:rsidRPr="00B01713">
        <w:rPr>
          <w:spacing w:val="-5"/>
          <w:lang w:val="en-US"/>
        </w:rPr>
        <w:t xml:space="preserve">th ed., Oxford University Press, </w:t>
      </w:r>
      <w:r w:rsidR="00D74BDA">
        <w:rPr>
          <w:spacing w:val="-5"/>
          <w:lang w:val="en-US"/>
        </w:rPr>
        <w:t>2020</w:t>
      </w:r>
      <w:r w:rsidRPr="00B01713">
        <w:rPr>
          <w:spacing w:val="-5"/>
          <w:lang w:val="en-US"/>
        </w:rPr>
        <w:t xml:space="preserv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3E2DB462"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 xml:space="preserve">The final </w:t>
      </w:r>
      <w:r w:rsidRPr="000C5DC4">
        <w:rPr>
          <w:rFonts w:ascii="Times New Roman" w:hAnsi="Times New Roman"/>
          <w:color w:val="000000" w:themeColor="text1"/>
          <w:szCs w:val="18"/>
          <w:lang w:val="en-US"/>
        </w:rPr>
        <w:t>exam will be oral (in English). Students will also be offered the opportunity to sit</w:t>
      </w:r>
      <w:r w:rsidR="009C7E3A" w:rsidRPr="000C5DC4">
        <w:rPr>
          <w:rFonts w:ascii="Times New Roman" w:hAnsi="Times New Roman"/>
          <w:color w:val="000000" w:themeColor="text1"/>
          <w:szCs w:val="18"/>
          <w:lang w:val="en-US"/>
        </w:rPr>
        <w:t xml:space="preserve"> a mid-term examination at the end of each part of the course. Further details on the examination methods will be provided in class/thorugh the Blackboard page</w:t>
      </w:r>
      <w:r w:rsidRPr="000C5DC4">
        <w:rPr>
          <w:rFonts w:ascii="Times New Roman" w:hAnsi="Times New Roman"/>
          <w:color w:val="000000" w:themeColor="text1"/>
          <w:szCs w:val="18"/>
          <w:lang w:val="en-US"/>
        </w:rPr>
        <w:t xml:space="preserve">. A differentiated mid-term examination will </w:t>
      </w:r>
      <w:r>
        <w:rPr>
          <w:rFonts w:ascii="Times New Roman" w:hAnsi="Times New Roman"/>
          <w:szCs w:val="18"/>
          <w:lang w:val="en-US"/>
        </w:rPr>
        <w:t>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lastRenderedPageBreak/>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t>NOTES AND PREREQUISITES</w:t>
      </w:r>
    </w:p>
    <w:p w14:paraId="15C0F7A5" w14:textId="77777777" w:rsidR="00296CF2" w:rsidRPr="000C5DC4" w:rsidRDefault="00296CF2" w:rsidP="0028664A">
      <w:pPr>
        <w:pStyle w:val="Testo2"/>
        <w:spacing w:before="120"/>
        <w:rPr>
          <w:i/>
          <w:lang w:val="en-GB"/>
        </w:rPr>
      </w:pPr>
      <w:r w:rsidRPr="000C5DC4">
        <w:rPr>
          <w:i/>
          <w:lang w:val="en-GB"/>
        </w:rPr>
        <w:t>Place and time of consultation hours</w:t>
      </w:r>
    </w:p>
    <w:p w14:paraId="26E928DE" w14:textId="5F1DC61B" w:rsidR="00296CF2" w:rsidRPr="000C5DC4" w:rsidRDefault="00795D25" w:rsidP="00296CF2">
      <w:pPr>
        <w:pStyle w:val="Testo2"/>
        <w:rPr>
          <w:lang w:val="en-US"/>
        </w:rPr>
      </w:pPr>
      <w:r w:rsidRPr="000C5DC4">
        <w:rPr>
          <w:lang w:val="en-US"/>
        </w:rPr>
        <w:t>Prof</w:t>
      </w:r>
      <w:r w:rsidR="00296CF2" w:rsidRPr="000C5DC4">
        <w:rPr>
          <w:lang w:val="en-US"/>
        </w:rPr>
        <w:t xml:space="preserve">. </w:t>
      </w:r>
      <w:r w:rsidR="009C7E3A" w:rsidRPr="000C5DC4">
        <w:rPr>
          <w:lang w:val="en-US"/>
        </w:rPr>
        <w:t>Ceolotto</w:t>
      </w:r>
      <w:r w:rsidR="00296CF2" w:rsidRPr="000C5DC4">
        <w:rPr>
          <w:lang w:val="en-US"/>
        </w:rPr>
        <w:t>: see Faculty Personal Page.</w:t>
      </w:r>
    </w:p>
    <w:p w14:paraId="528BCE16" w14:textId="0CE5F068" w:rsidR="00C43066" w:rsidRDefault="00795D25" w:rsidP="00E52A29">
      <w:pPr>
        <w:pStyle w:val="Testo2"/>
        <w:rPr>
          <w:lang w:val="en-US"/>
        </w:rPr>
      </w:pPr>
      <w:r w:rsidRPr="000C5DC4">
        <w:rPr>
          <w:lang w:val="en-US"/>
        </w:rPr>
        <w:t>Prof</w:t>
      </w:r>
      <w:r w:rsidR="00296CF2" w:rsidRPr="000C5DC4">
        <w:rPr>
          <w:lang w:val="en-US"/>
        </w:rPr>
        <w:t xml:space="preserve">. </w:t>
      </w:r>
      <w:r w:rsidR="00671548" w:rsidRPr="000C5DC4">
        <w:rPr>
          <w:lang w:val="en-US"/>
        </w:rPr>
        <w:t>Lionello</w:t>
      </w:r>
      <w:r w:rsidR="00296CF2" w:rsidRPr="000C5DC4">
        <w:rPr>
          <w:lang w:val="en-US"/>
        </w:rPr>
        <w:t>: see</w:t>
      </w:r>
      <w:r w:rsidR="00296CF2" w:rsidRPr="00B01713">
        <w:rPr>
          <w:lang w:val="en-US"/>
        </w:rPr>
        <w:t xml:space="preserve"> Faculty Personal Page.</w:t>
      </w:r>
    </w:p>
    <w:sectPr w:rsidR="00C430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C7A8" w14:textId="77777777" w:rsidR="00404EB7" w:rsidRDefault="00404EB7" w:rsidP="00404EB7">
      <w:pPr>
        <w:spacing w:line="240" w:lineRule="auto"/>
      </w:pPr>
      <w:r>
        <w:separator/>
      </w:r>
    </w:p>
  </w:endnote>
  <w:endnote w:type="continuationSeparator" w:id="0">
    <w:p w14:paraId="691921EE" w14:textId="77777777" w:rsidR="00404EB7" w:rsidRDefault="00404EB7" w:rsidP="0040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E7FE" w14:textId="77777777" w:rsidR="00404EB7" w:rsidRDefault="00404EB7" w:rsidP="00404EB7">
      <w:pPr>
        <w:spacing w:line="240" w:lineRule="auto"/>
      </w:pPr>
      <w:r>
        <w:separator/>
      </w:r>
    </w:p>
  </w:footnote>
  <w:footnote w:type="continuationSeparator" w:id="0">
    <w:p w14:paraId="2804F90F" w14:textId="77777777" w:rsidR="00404EB7" w:rsidRDefault="00404EB7" w:rsidP="00404EB7">
      <w:pPr>
        <w:spacing w:line="240" w:lineRule="auto"/>
      </w:pPr>
      <w:r>
        <w:continuationSeparator/>
      </w:r>
    </w:p>
  </w:footnote>
  <w:footnote w:id="1">
    <w:p w14:paraId="5B0C4879" w14:textId="4FDBC773" w:rsidR="00404EB7" w:rsidRDefault="00404EB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F2"/>
    <w:rsid w:val="000541F9"/>
    <w:rsid w:val="000C5DC4"/>
    <w:rsid w:val="00173E47"/>
    <w:rsid w:val="00187B99"/>
    <w:rsid w:val="001D01DF"/>
    <w:rsid w:val="002014DD"/>
    <w:rsid w:val="0028664A"/>
    <w:rsid w:val="00296CF2"/>
    <w:rsid w:val="002B7FA4"/>
    <w:rsid w:val="002D5E17"/>
    <w:rsid w:val="003676DE"/>
    <w:rsid w:val="00404EB7"/>
    <w:rsid w:val="0049463F"/>
    <w:rsid w:val="004D1217"/>
    <w:rsid w:val="004D6008"/>
    <w:rsid w:val="00640794"/>
    <w:rsid w:val="00671548"/>
    <w:rsid w:val="00683ED3"/>
    <w:rsid w:val="006F1772"/>
    <w:rsid w:val="00795D25"/>
    <w:rsid w:val="00852A04"/>
    <w:rsid w:val="008942E7"/>
    <w:rsid w:val="008A1204"/>
    <w:rsid w:val="00900CCA"/>
    <w:rsid w:val="00924B77"/>
    <w:rsid w:val="00940DA2"/>
    <w:rsid w:val="00953FA4"/>
    <w:rsid w:val="009A6817"/>
    <w:rsid w:val="009C7E3A"/>
    <w:rsid w:val="009E055C"/>
    <w:rsid w:val="00A74F6F"/>
    <w:rsid w:val="00AD7557"/>
    <w:rsid w:val="00AF1361"/>
    <w:rsid w:val="00B01713"/>
    <w:rsid w:val="00B50C5D"/>
    <w:rsid w:val="00B51253"/>
    <w:rsid w:val="00B525CC"/>
    <w:rsid w:val="00C2013A"/>
    <w:rsid w:val="00C43066"/>
    <w:rsid w:val="00D231B8"/>
    <w:rsid w:val="00D404F2"/>
    <w:rsid w:val="00D74BDA"/>
    <w:rsid w:val="00E52A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15:chartTrackingRefBased/>
  <w15:docId w15:val="{8C8FB9AA-E9E1-4D2B-A7E6-EFF870B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04EB7"/>
    <w:pPr>
      <w:spacing w:line="240" w:lineRule="auto"/>
    </w:pPr>
    <w:rPr>
      <w:szCs w:val="20"/>
    </w:rPr>
  </w:style>
  <w:style w:type="character" w:customStyle="1" w:styleId="TestonotaapidipaginaCarattere">
    <w:name w:val="Testo nota a piè di pagina Carattere"/>
    <w:basedOn w:val="Carpredefinitoparagrafo"/>
    <w:link w:val="Testonotaapidipagina"/>
    <w:rsid w:val="00404EB7"/>
  </w:style>
  <w:style w:type="character" w:styleId="Rimandonotaapidipagina">
    <w:name w:val="footnote reference"/>
    <w:basedOn w:val="Carpredefinitoparagrafo"/>
    <w:rsid w:val="00404EB7"/>
    <w:rPr>
      <w:vertAlign w:val="superscript"/>
    </w:rPr>
  </w:style>
  <w:style w:type="character" w:styleId="Collegamentoipertestuale">
    <w:name w:val="Hyperlink"/>
    <w:basedOn w:val="Carpredefinitoparagrafo"/>
    <w:rsid w:val="00404EB7"/>
    <w:rPr>
      <w:color w:val="0563C1" w:themeColor="hyperlink"/>
      <w:u w:val="single"/>
    </w:rPr>
  </w:style>
  <w:style w:type="character" w:styleId="Menzionenonrisolta">
    <w:name w:val="Unresolved Mention"/>
    <w:basedOn w:val="Carpredefinitoparagrafo"/>
    <w:uiPriority w:val="99"/>
    <w:semiHidden/>
    <w:unhideWhenUsed/>
    <w:rsid w:val="00404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ttila-m-tanzi/a-concise-introduction-to-international-law-9788892145337-71532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BA1F-A368-4F3B-9EDE-9CBADADA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689</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2023-05-19T06:12:00Z</dcterms:created>
  <dcterms:modified xsi:type="dcterms:W3CDTF">2023-07-04T11:57:00Z</dcterms:modified>
</cp:coreProperties>
</file>