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4C35" w14:textId="77777777" w:rsidR="00A0162F" w:rsidRDefault="00A0162F" w:rsidP="00A0162F">
      <w:pPr>
        <w:pStyle w:val="Titolo1"/>
        <w:spacing w:before="0"/>
        <w:rPr>
          <w:rFonts w:eastAsiaTheme="minorHAnsi"/>
        </w:rPr>
      </w:pPr>
      <w:r w:rsidRPr="008411EA">
        <w:rPr>
          <w:rFonts w:eastAsiaTheme="minorHAnsi"/>
        </w:rPr>
        <w:t xml:space="preserve">Etica </w:t>
      </w:r>
      <w:r>
        <w:rPr>
          <w:rFonts w:eastAsiaTheme="minorHAnsi"/>
        </w:rPr>
        <w:t>della</w:t>
      </w:r>
      <w:r w:rsidR="00731B86">
        <w:rPr>
          <w:rFonts w:eastAsiaTheme="minorHAnsi"/>
        </w:rPr>
        <w:t xml:space="preserve"> cura</w:t>
      </w:r>
    </w:p>
    <w:p w14:paraId="037B4228" w14:textId="77777777" w:rsidR="00A0162F" w:rsidRDefault="00A0162F" w:rsidP="00A0162F">
      <w:pPr>
        <w:pStyle w:val="Titolo2"/>
        <w:rPr>
          <w:rFonts w:eastAsiaTheme="minorHAnsi"/>
        </w:rPr>
      </w:pPr>
      <w:r>
        <w:rPr>
          <w:rFonts w:eastAsiaTheme="minorHAnsi"/>
        </w:rPr>
        <w:t>Prof. Paolo Gomarasca</w:t>
      </w:r>
    </w:p>
    <w:p w14:paraId="2AA5B526" w14:textId="75651D29" w:rsidR="002D5E17" w:rsidRDefault="00A0162F" w:rsidP="00A016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82F5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2234A9F" w14:textId="77777777" w:rsidR="005A6E18" w:rsidRDefault="005A6E18" w:rsidP="005A6E18">
      <w:pPr>
        <w:spacing w:line="240" w:lineRule="exact"/>
        <w:rPr>
          <w:rFonts w:eastAsiaTheme="minorHAnsi"/>
        </w:rPr>
      </w:pPr>
      <w:r w:rsidRPr="00074303">
        <w:rPr>
          <w:rFonts w:eastAsiaTheme="minorHAnsi"/>
        </w:rPr>
        <w:t xml:space="preserve">Il </w:t>
      </w:r>
      <w:r>
        <w:rPr>
          <w:rFonts w:eastAsiaTheme="minorHAnsi"/>
        </w:rPr>
        <w:t>corso</w:t>
      </w:r>
      <w:r w:rsidRPr="00074303">
        <w:rPr>
          <w:rFonts w:eastAsiaTheme="minorHAnsi"/>
        </w:rPr>
        <w:t xml:space="preserve"> intende proporre e discutere la teoria della </w:t>
      </w:r>
      <w:r w:rsidRPr="00074303">
        <w:rPr>
          <w:rFonts w:eastAsiaTheme="minorHAnsi"/>
          <w:i/>
        </w:rPr>
        <w:t>ethics of care</w:t>
      </w:r>
      <w:r w:rsidRPr="00074303">
        <w:rPr>
          <w:rFonts w:eastAsiaTheme="minorHAnsi"/>
        </w:rPr>
        <w:t xml:space="preserve"> come modello di riferimento del </w:t>
      </w:r>
      <w:r>
        <w:rPr>
          <w:rFonts w:eastAsiaTheme="minorHAnsi"/>
        </w:rPr>
        <w:t>social work</w:t>
      </w:r>
      <w:r w:rsidRPr="00074303">
        <w:rPr>
          <w:rFonts w:eastAsiaTheme="minorHAnsi"/>
        </w:rPr>
        <w:t xml:space="preserve">. </w:t>
      </w:r>
      <w:r>
        <w:rPr>
          <w:rFonts w:eastAsiaTheme="minorHAnsi"/>
        </w:rPr>
        <w:t>Più specificamente</w:t>
      </w:r>
      <w:r w:rsidRPr="00074303">
        <w:rPr>
          <w:rFonts w:eastAsiaTheme="minorHAnsi"/>
        </w:rPr>
        <w:t xml:space="preserve">, </w:t>
      </w:r>
      <w:r>
        <w:rPr>
          <w:rFonts w:eastAsiaTheme="minorHAnsi"/>
        </w:rPr>
        <w:t>il percorso didattico</w:t>
      </w:r>
      <w:r w:rsidRPr="00074303">
        <w:rPr>
          <w:rFonts w:eastAsiaTheme="minorHAnsi"/>
        </w:rPr>
        <w:t xml:space="preserve"> punterà alla costruzione e giustificazione di un nesso tra processi di aiuto e dinamiche cooperative-partecipative, da un’angolatur</w:t>
      </w:r>
      <w:r>
        <w:rPr>
          <w:rFonts w:eastAsiaTheme="minorHAnsi"/>
        </w:rPr>
        <w:t>a strettamente etica e politica, con particolare riferimento all’operato dell’International Federation of Social Workers e l’International Association of Schools of Social Work.</w:t>
      </w:r>
    </w:p>
    <w:p w14:paraId="0EF28B1C" w14:textId="77777777" w:rsidR="005A6E18" w:rsidRPr="005A6E18" w:rsidRDefault="005A6E18" w:rsidP="00B82F5C">
      <w:pPr>
        <w:spacing w:before="120" w:line="240" w:lineRule="exact"/>
        <w:ind w:left="284" w:hanging="284"/>
        <w:rPr>
          <w:i/>
        </w:rPr>
      </w:pPr>
      <w:r w:rsidRPr="005A6E18">
        <w:rPr>
          <w:i/>
        </w:rPr>
        <w:t>Risultati di apprendimento attesi:</w:t>
      </w:r>
    </w:p>
    <w:p w14:paraId="09CF6061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5D547B">
        <w:rPr>
          <w:szCs w:val="20"/>
        </w:rPr>
        <w:t>Conoscenza e comprensione</w:t>
      </w:r>
    </w:p>
    <w:p w14:paraId="73B12D58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 w:rsidRPr="005D547B">
        <w:rPr>
          <w:szCs w:val="20"/>
        </w:rPr>
        <w:t>Al termine dell’insegnamento, lo studente sarà in grado di:</w:t>
      </w:r>
    </w:p>
    <w:p w14:paraId="6F258D70" w14:textId="77777777" w:rsidR="005A6E18" w:rsidRPr="005D547B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 xml:space="preserve">orientarsi criticamente nella riflessione contemporanea </w:t>
      </w:r>
      <w:r w:rsidRPr="005D547B">
        <w:rPr>
          <w:rFonts w:eastAsiaTheme="minorHAnsi"/>
          <w:szCs w:val="20"/>
        </w:rPr>
        <w:t>su</w:t>
      </w:r>
      <w:r>
        <w:rPr>
          <w:rFonts w:eastAsiaTheme="minorHAnsi"/>
          <w:szCs w:val="20"/>
        </w:rPr>
        <w:t>llo statuto etico e politico della professione del Social Work, conoscendo i principali attori istituzionali del dibattito, le principali norme e codici di riferimento, e le differenti posizioni discusse in ambito accademico</w:t>
      </w:r>
      <w:r w:rsidRPr="005D547B">
        <w:rPr>
          <w:rFonts w:eastAsiaTheme="minorHAnsi"/>
          <w:szCs w:val="20"/>
        </w:rPr>
        <w:t>;</w:t>
      </w:r>
    </w:p>
    <w:p w14:paraId="0EB0074A" w14:textId="77777777" w:rsidR="005A6E18" w:rsidRPr="005D547B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giustificare la</w:t>
      </w:r>
      <w:r w:rsidRPr="005D547B">
        <w:rPr>
          <w:rFonts w:eastAsiaTheme="minorHAnsi"/>
          <w:szCs w:val="20"/>
        </w:rPr>
        <w:t xml:space="preserve"> correlazione </w:t>
      </w:r>
      <w:r>
        <w:rPr>
          <w:rFonts w:eastAsiaTheme="minorHAnsi"/>
          <w:szCs w:val="20"/>
        </w:rPr>
        <w:t>tra il Social Work e la</w:t>
      </w:r>
      <w:r w:rsidRPr="005D547B">
        <w:rPr>
          <w:rFonts w:eastAsiaTheme="minorHAnsi"/>
          <w:szCs w:val="20"/>
        </w:rPr>
        <w:t xml:space="preserve"> difesa dei diritti umani</w:t>
      </w:r>
      <w:r>
        <w:rPr>
          <w:rFonts w:eastAsiaTheme="minorHAnsi"/>
          <w:szCs w:val="20"/>
        </w:rPr>
        <w:t>, nel concreto della progettazione e realizzazione di pratiche anti-oppressive.</w:t>
      </w:r>
    </w:p>
    <w:p w14:paraId="12145044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5D547B">
        <w:rPr>
          <w:szCs w:val="20"/>
        </w:rPr>
        <w:t>Capacità di applicare conoscenza e comprensione</w:t>
      </w:r>
    </w:p>
    <w:p w14:paraId="305804E4" w14:textId="77777777" w:rsidR="005A6E18" w:rsidRPr="005D547B" w:rsidRDefault="005A6E18" w:rsidP="005A6E18">
      <w:pPr>
        <w:spacing w:line="240" w:lineRule="exact"/>
        <w:ind w:left="284" w:hanging="284"/>
        <w:rPr>
          <w:szCs w:val="20"/>
        </w:rPr>
      </w:pPr>
      <w:r w:rsidRPr="005D547B">
        <w:rPr>
          <w:szCs w:val="20"/>
        </w:rPr>
        <w:t>Al termine dell’insegnamento, lo studente sarà in grado di:</w:t>
      </w:r>
    </w:p>
    <w:p w14:paraId="3BC05D8B" w14:textId="77777777" w:rsidR="005A6E18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identificare le sfide etiche e deontologiche della professione, sviluppando una particolare sensibilità per i diritti umani delle persone vulnerabili, coinvolte nei processi di aiuto;</w:t>
      </w:r>
    </w:p>
    <w:p w14:paraId="5DD1789B" w14:textId="77777777" w:rsidR="005A6E18" w:rsidRPr="009456EF" w:rsidRDefault="005A6E18" w:rsidP="005A6E18">
      <w:pPr>
        <w:spacing w:line="240" w:lineRule="exact"/>
        <w:ind w:left="284" w:hanging="284"/>
        <w:rPr>
          <w:rFonts w:eastAsiaTheme="minorHAnsi"/>
          <w:szCs w:val="20"/>
        </w:rPr>
      </w:pPr>
      <w:r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ab/>
        <w:t>adottare una metodologia critica e dialogica, sia nella fase di identificazione e costruzione dei problemi di frontiera del Social Work a livello globale, sia nella fase deliberativa di ricerca di soluzioni condivise.</w:t>
      </w:r>
    </w:p>
    <w:p w14:paraId="480CCDB7" w14:textId="77777777" w:rsidR="00A0162F" w:rsidRDefault="00A0162F" w:rsidP="00A0162F">
      <w:pPr>
        <w:spacing w:before="240" w:after="120"/>
        <w:rPr>
          <w:rFonts w:eastAsiaTheme="minorHAnsi"/>
          <w:b/>
          <w:sz w:val="18"/>
        </w:rPr>
      </w:pPr>
      <w:r>
        <w:rPr>
          <w:rFonts w:eastAsiaTheme="minorHAnsi"/>
          <w:b/>
          <w:i/>
          <w:sz w:val="18"/>
        </w:rPr>
        <w:t>PROGRAMMA DEL CORSO</w:t>
      </w:r>
    </w:p>
    <w:p w14:paraId="2E3CC58A" w14:textId="2FFEF602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 xml:space="preserve">Il corso è diviso in due parti. Nella prima parte, verranno analizzati e discussi </w:t>
      </w:r>
      <w:r w:rsidRPr="00074303">
        <w:rPr>
          <w:rFonts w:eastAsiaTheme="minorHAnsi"/>
        </w:rPr>
        <w:t xml:space="preserve">due concetti fondamentali della </w:t>
      </w:r>
      <w:r w:rsidRPr="00074303">
        <w:rPr>
          <w:rFonts w:eastAsiaTheme="minorHAnsi"/>
          <w:i/>
        </w:rPr>
        <w:t>ethics of care</w:t>
      </w:r>
      <w:r w:rsidRPr="00074303">
        <w:rPr>
          <w:rFonts w:eastAsiaTheme="minorHAnsi"/>
        </w:rPr>
        <w:t xml:space="preserve">: l’empatia e la partecipazione. </w:t>
      </w:r>
      <w:r>
        <w:rPr>
          <w:rFonts w:eastAsiaTheme="minorHAnsi"/>
        </w:rPr>
        <w:t>O</w:t>
      </w:r>
      <w:r w:rsidRPr="00074303">
        <w:rPr>
          <w:rFonts w:eastAsiaTheme="minorHAnsi"/>
        </w:rPr>
        <w:t xml:space="preserve">gni punto della riflessione concettuale </w:t>
      </w:r>
      <w:r>
        <w:rPr>
          <w:rFonts w:eastAsiaTheme="minorHAnsi"/>
        </w:rPr>
        <w:t xml:space="preserve">sarà trattato in relazione al dibattito attualmente in corso a livello internazionale sul Social Work come </w:t>
      </w:r>
      <w:r>
        <w:t xml:space="preserve">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e sulle sue pratiche di intervento nei contesti di aiuto e di contrasto alla discriminazione</w:t>
      </w:r>
      <w:r w:rsidRPr="00074303">
        <w:rPr>
          <w:rFonts w:eastAsiaTheme="minorHAnsi"/>
        </w:rPr>
        <w:t xml:space="preserve">. </w:t>
      </w:r>
      <w:r>
        <w:rPr>
          <w:rFonts w:eastAsiaTheme="minorHAnsi"/>
        </w:rPr>
        <w:t>Nella seconda parte, verrà approfondita la rilevanza etica e politica del Social Work nel contesto della povertà</w:t>
      </w:r>
      <w:r w:rsidR="00D7203C">
        <w:rPr>
          <w:rFonts w:eastAsiaTheme="minorHAnsi"/>
        </w:rPr>
        <w:t>, con particolare riferimento al tem</w:t>
      </w:r>
      <w:r w:rsidR="00451610">
        <w:rPr>
          <w:rFonts w:eastAsiaTheme="minorHAnsi"/>
        </w:rPr>
        <w:t>a</w:t>
      </w:r>
      <w:r w:rsidR="00D7203C">
        <w:rPr>
          <w:rFonts w:eastAsiaTheme="minorHAnsi"/>
        </w:rPr>
        <w:t xml:space="preserve"> della fame e del suo fronteggiamento</w:t>
      </w:r>
      <w:r>
        <w:rPr>
          <w:rFonts w:eastAsiaTheme="minorHAnsi"/>
        </w:rPr>
        <w:t xml:space="preserve">. </w:t>
      </w:r>
    </w:p>
    <w:p w14:paraId="51E245F6" w14:textId="77777777" w:rsidR="00D7203C" w:rsidRDefault="00D7203C" w:rsidP="005A6E18">
      <w:pPr>
        <w:spacing w:line="240" w:lineRule="exact"/>
        <w:rPr>
          <w:rFonts w:eastAsiaTheme="minorHAnsi"/>
        </w:rPr>
      </w:pPr>
    </w:p>
    <w:p w14:paraId="15C8A32F" w14:textId="3EA4C339" w:rsidR="005A6E18" w:rsidRPr="00ED6CAD" w:rsidRDefault="005A6E18" w:rsidP="005A6E18">
      <w:pPr>
        <w:spacing w:line="240" w:lineRule="exact"/>
        <w:rPr>
          <w:rFonts w:eastAsiaTheme="minorHAnsi"/>
          <w:i/>
        </w:rPr>
      </w:pPr>
      <w:r>
        <w:rPr>
          <w:rFonts w:ascii="Times" w:eastAsiaTheme="minorHAnsi" w:hAnsi="Times"/>
          <w:smallCaps/>
          <w:noProof/>
          <w:sz w:val="18"/>
          <w:szCs w:val="20"/>
        </w:rPr>
        <w:tab/>
      </w:r>
      <w:r w:rsidRPr="00ED6CAD">
        <w:rPr>
          <w:rFonts w:ascii="Times" w:eastAsiaTheme="minorHAnsi" w:hAnsi="Times"/>
          <w:smallCaps/>
          <w:noProof/>
          <w:sz w:val="18"/>
          <w:szCs w:val="20"/>
        </w:rPr>
        <w:t>I parte:</w:t>
      </w:r>
      <w:r w:rsidRPr="00ED6CAD">
        <w:rPr>
          <w:rFonts w:eastAsiaTheme="minorHAnsi"/>
          <w:i/>
        </w:rPr>
        <w:t xml:space="preserve"> Ethics of care</w:t>
      </w:r>
    </w:p>
    <w:p w14:paraId="4D290908" w14:textId="77777777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lastRenderedPageBreak/>
        <w:t>1.</w:t>
      </w:r>
      <w:r>
        <w:rPr>
          <w:rFonts w:eastAsiaTheme="minorHAnsi"/>
        </w:rPr>
        <w:tab/>
        <w:t>Il Social Work come professione basata sui diritti umani.</w:t>
      </w:r>
    </w:p>
    <w:p w14:paraId="3A4C5245" w14:textId="77777777" w:rsidR="005A6E18" w:rsidRPr="00074303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Bisogni umani e diritti umani.</w:t>
      </w:r>
    </w:p>
    <w:p w14:paraId="1CFCFD28" w14:textId="77777777" w:rsidR="005A6E18" w:rsidRPr="00074303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Etica della cura e</w:t>
      </w:r>
      <w:r w:rsidRPr="00074303">
        <w:rPr>
          <w:rFonts w:eastAsiaTheme="minorHAnsi"/>
        </w:rPr>
        <w:t xml:space="preserve"> partecipazione </w:t>
      </w:r>
      <w:r>
        <w:rPr>
          <w:rFonts w:eastAsiaTheme="minorHAnsi"/>
        </w:rPr>
        <w:t>politica.</w:t>
      </w:r>
    </w:p>
    <w:p w14:paraId="3088A413" w14:textId="77777777" w:rsidR="005A6E18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A</w:t>
      </w:r>
      <w:r w:rsidRPr="00074303">
        <w:rPr>
          <w:rFonts w:eastAsiaTheme="minorHAnsi"/>
        </w:rPr>
        <w:t>rticolazione tra agire empatico e agire partecipativo</w:t>
      </w:r>
      <w:r>
        <w:rPr>
          <w:rFonts w:eastAsiaTheme="minorHAnsi"/>
        </w:rPr>
        <w:t>.</w:t>
      </w:r>
    </w:p>
    <w:p w14:paraId="050B3DC1" w14:textId="77777777" w:rsidR="005A6E18" w:rsidRPr="00DA5F9E" w:rsidRDefault="005A6E18" w:rsidP="005A6E18">
      <w:pPr>
        <w:spacing w:before="120" w:line="240" w:lineRule="exact"/>
        <w:rPr>
          <w:rFonts w:eastAsiaTheme="minorHAnsi"/>
          <w:i/>
        </w:rPr>
      </w:pPr>
      <w:r>
        <w:rPr>
          <w:rFonts w:ascii="Times" w:eastAsiaTheme="minorHAnsi" w:hAnsi="Times"/>
          <w:smallCaps/>
          <w:noProof/>
          <w:sz w:val="18"/>
          <w:szCs w:val="20"/>
        </w:rPr>
        <w:tab/>
      </w:r>
      <w:r w:rsidRPr="000A76D2">
        <w:rPr>
          <w:rFonts w:ascii="Times" w:eastAsiaTheme="minorHAnsi" w:hAnsi="Times"/>
          <w:smallCaps/>
          <w:noProof/>
          <w:sz w:val="18"/>
          <w:szCs w:val="20"/>
        </w:rPr>
        <w:t>II parte</w:t>
      </w:r>
      <w:r>
        <w:rPr>
          <w:rFonts w:ascii="Times" w:eastAsiaTheme="minorHAnsi" w:hAnsi="Times"/>
          <w:smallCaps/>
          <w:noProof/>
          <w:sz w:val="18"/>
          <w:szCs w:val="20"/>
        </w:rPr>
        <w:t>:</w:t>
      </w:r>
      <w:r w:rsidRPr="00DA5F9E">
        <w:rPr>
          <w:rFonts w:eastAsiaTheme="minorHAnsi"/>
          <w:i/>
        </w:rPr>
        <w:t xml:space="preserve"> Focus di approfondimento</w:t>
      </w:r>
    </w:p>
    <w:p w14:paraId="1B4CC838" w14:textId="77777777" w:rsidR="005A6E18" w:rsidRPr="007B0B84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7B0B84">
        <w:rPr>
          <w:rFonts w:eastAsiaTheme="minorHAnsi"/>
        </w:rPr>
        <w:t>Social Work e povertà</w:t>
      </w:r>
      <w:r>
        <w:rPr>
          <w:rFonts w:eastAsiaTheme="minorHAnsi"/>
        </w:rPr>
        <w:t>.</w:t>
      </w:r>
    </w:p>
    <w:p w14:paraId="6BA9BB2C" w14:textId="493FC099" w:rsidR="005A6E18" w:rsidRPr="007B0B84" w:rsidRDefault="005A6E18" w:rsidP="005A6E18">
      <w:pPr>
        <w:spacing w:line="240" w:lineRule="exact"/>
        <w:rPr>
          <w:rFonts w:eastAsiaTheme="minorHAnsi"/>
        </w:rPr>
      </w:pPr>
      <w:r>
        <w:rPr>
          <w:rFonts w:eastAsiaTheme="minorHAnsi"/>
        </w:rPr>
        <w:t>2.</w:t>
      </w:r>
      <w:r w:rsidRPr="007B0B84">
        <w:rPr>
          <w:rFonts w:eastAsiaTheme="minorHAnsi"/>
        </w:rPr>
        <w:tab/>
      </w:r>
      <w:r w:rsidR="00D7203C">
        <w:rPr>
          <w:rFonts w:eastAsiaTheme="minorHAnsi"/>
        </w:rPr>
        <w:t>la fame come “crimine contro l’umanità” e il diritto umano al cibo</w:t>
      </w:r>
      <w:r>
        <w:rPr>
          <w:rFonts w:eastAsiaTheme="minorHAnsi"/>
        </w:rPr>
        <w:t>.</w:t>
      </w:r>
    </w:p>
    <w:p w14:paraId="33F49E22" w14:textId="109E4F8D" w:rsidR="00A0162F" w:rsidRPr="000A76D2" w:rsidRDefault="00A0162F" w:rsidP="00A016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6500E">
        <w:rPr>
          <w:rStyle w:val="Rimandonotaapidipagina"/>
          <w:b/>
          <w:i/>
          <w:sz w:val="18"/>
        </w:rPr>
        <w:footnoteReference w:id="1"/>
      </w:r>
    </w:p>
    <w:p w14:paraId="4A633E44" w14:textId="77777777" w:rsidR="00BA097C" w:rsidRPr="0044519A" w:rsidRDefault="00BA097C" w:rsidP="00BA097C">
      <w:pPr>
        <w:pStyle w:val="Testo1"/>
        <w:spacing w:before="0"/>
        <w:rPr>
          <w:rFonts w:eastAsia="Calibri"/>
          <w:szCs w:val="18"/>
        </w:rPr>
      </w:pPr>
      <w:r w:rsidRPr="0044519A">
        <w:rPr>
          <w:rFonts w:eastAsia="Calibri"/>
          <w:szCs w:val="18"/>
        </w:rPr>
        <w:t>Per gli studenti frequentanti, oltre agli argomenti trattati a lezione:</w:t>
      </w:r>
    </w:p>
    <w:p w14:paraId="5C588E38" w14:textId="77777777" w:rsidR="00BA097C" w:rsidRPr="00E12B05" w:rsidRDefault="00BA097C" w:rsidP="00BA097C">
      <w:pPr>
        <w:pStyle w:val="Testo1"/>
        <w:spacing w:before="0" w:line="240" w:lineRule="atLeast"/>
        <w:ind w:firstLine="0"/>
        <w:rPr>
          <w:rFonts w:eastAsia="Calibri"/>
          <w:spacing w:val="-5"/>
          <w:szCs w:val="18"/>
        </w:rPr>
      </w:pPr>
      <w:r w:rsidRPr="00E12B05">
        <w:rPr>
          <w:rFonts w:eastAsia="Calibri"/>
          <w:spacing w:val="-5"/>
          <w:szCs w:val="18"/>
        </w:rPr>
        <w:t>I Parte</w:t>
      </w:r>
    </w:p>
    <w:p w14:paraId="4C54DA2D" w14:textId="77777777" w:rsidR="00BA097C" w:rsidRPr="00BA097C" w:rsidRDefault="00BA097C" w:rsidP="00BA097C">
      <w:pPr>
        <w:pStyle w:val="Testo1"/>
        <w:spacing w:before="0" w:line="240" w:lineRule="atLeast"/>
        <w:rPr>
          <w:rFonts w:eastAsia="Calibri"/>
          <w:smallCaps/>
          <w:spacing w:val="-5"/>
          <w:szCs w:val="18"/>
        </w:rPr>
      </w:pPr>
      <w:r w:rsidRPr="00BA097C">
        <w:rPr>
          <w:rFonts w:eastAsia="Calibri"/>
          <w:smallCaps/>
          <w:spacing w:val="-5"/>
          <w:sz w:val="16"/>
          <w:szCs w:val="16"/>
        </w:rPr>
        <w:t>United Nations</w:t>
      </w:r>
      <w:r w:rsidRPr="00E12B05">
        <w:rPr>
          <w:rFonts w:eastAsia="Calibri"/>
          <w:smallCaps/>
          <w:spacing w:val="-5"/>
          <w:szCs w:val="18"/>
        </w:rPr>
        <w:t xml:space="preserve">, </w:t>
      </w:r>
      <w:r w:rsidRPr="00E12B05">
        <w:rPr>
          <w:rFonts w:eastAsia="Calibri"/>
          <w:i/>
          <w:spacing w:val="-5"/>
          <w:szCs w:val="18"/>
        </w:rPr>
        <w:t xml:space="preserve">Dichiarazione Universale dei Diritti </w:t>
      </w:r>
      <w:r w:rsidRPr="00BA097C">
        <w:rPr>
          <w:rFonts w:eastAsia="Calibri"/>
          <w:i/>
          <w:spacing w:val="-5"/>
          <w:szCs w:val="18"/>
        </w:rPr>
        <w:t>Umani</w:t>
      </w:r>
      <w:r w:rsidRPr="00BA097C">
        <w:rPr>
          <w:rFonts w:eastAsia="Calibri"/>
          <w:smallCaps/>
          <w:spacing w:val="-5"/>
          <w:szCs w:val="18"/>
        </w:rPr>
        <w:t xml:space="preserve"> (1948)</w:t>
      </w:r>
    </w:p>
    <w:p w14:paraId="6E42D666" w14:textId="3B021432" w:rsidR="00BA097C" w:rsidRPr="00BA097C" w:rsidRDefault="00D7203C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>
        <w:rPr>
          <w:rFonts w:eastAsia="Calibri"/>
          <w:smallCaps/>
          <w:spacing w:val="-5"/>
          <w:sz w:val="16"/>
          <w:szCs w:val="16"/>
        </w:rPr>
        <w:t>P. Gomarasca</w:t>
      </w:r>
      <w:r w:rsidR="00BA097C" w:rsidRPr="00BA097C">
        <w:rPr>
          <w:rFonts w:eastAsia="Calibri"/>
          <w:smallCaps/>
          <w:spacing w:val="-5"/>
          <w:szCs w:val="18"/>
        </w:rPr>
        <w:t xml:space="preserve">, </w:t>
      </w:r>
      <w:r>
        <w:rPr>
          <w:rFonts w:eastAsia="Calibri"/>
          <w:i/>
          <w:spacing w:val="-5"/>
          <w:szCs w:val="18"/>
        </w:rPr>
        <w:t>Etica del cibo</w:t>
      </w:r>
      <w:r>
        <w:rPr>
          <w:rFonts w:eastAsia="Calibri"/>
          <w:spacing w:val="-5"/>
          <w:szCs w:val="18"/>
        </w:rPr>
        <w:t>, Morcelliana</w:t>
      </w:r>
      <w:r w:rsidR="00BA097C" w:rsidRPr="00BA097C">
        <w:rPr>
          <w:rFonts w:eastAsia="Calibri"/>
          <w:spacing w:val="-5"/>
          <w:szCs w:val="18"/>
        </w:rPr>
        <w:t xml:space="preserve">, </w:t>
      </w:r>
      <w:r>
        <w:rPr>
          <w:rFonts w:eastAsia="Calibri"/>
          <w:spacing w:val="-5"/>
          <w:szCs w:val="18"/>
        </w:rPr>
        <w:t>Brescia</w:t>
      </w:r>
      <w:r w:rsidR="00BA097C" w:rsidRPr="00BA097C">
        <w:rPr>
          <w:rFonts w:eastAsia="Calibri"/>
          <w:spacing w:val="-5"/>
          <w:szCs w:val="18"/>
        </w:rPr>
        <w:t xml:space="preserve">, </w:t>
      </w:r>
      <w:r>
        <w:rPr>
          <w:rFonts w:eastAsia="Calibri"/>
          <w:spacing w:val="-5"/>
          <w:szCs w:val="18"/>
        </w:rPr>
        <w:t>2021</w:t>
      </w:r>
      <w:r w:rsidR="00BA097C" w:rsidRPr="00BA097C">
        <w:rPr>
          <w:rFonts w:eastAsia="Calibri"/>
          <w:spacing w:val="-5"/>
          <w:szCs w:val="18"/>
        </w:rPr>
        <w:t>.</w:t>
      </w:r>
      <w:r w:rsidR="00BA097C" w:rsidRPr="00BA097C">
        <w:t xml:space="preserve"> </w:t>
      </w:r>
      <w:r w:rsidR="0046500E">
        <w:t xml:space="preserve"> </w:t>
      </w:r>
      <w:hyperlink r:id="rId7" w:history="1">
        <w:r w:rsidR="0046500E" w:rsidRPr="0046500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527F008" w14:textId="15CCB33F" w:rsidR="00BA097C" w:rsidRPr="00BA097C" w:rsidRDefault="00BA097C" w:rsidP="00BA097C">
      <w:pPr>
        <w:pStyle w:val="Testo1"/>
        <w:spacing w:before="0" w:line="240" w:lineRule="atLeast"/>
        <w:rPr>
          <w:rFonts w:eastAsiaTheme="minorHAnsi"/>
          <w:spacing w:val="-5"/>
          <w:szCs w:val="18"/>
        </w:rPr>
      </w:pPr>
      <w:r w:rsidRPr="00BA097C">
        <w:rPr>
          <w:rFonts w:eastAsia="Calibri"/>
          <w:smallCaps/>
          <w:spacing w:val="-5"/>
          <w:sz w:val="16"/>
          <w:szCs w:val="16"/>
        </w:rPr>
        <w:t>A. Heller</w:t>
      </w:r>
      <w:r w:rsidRPr="00BA097C">
        <w:rPr>
          <w:rFonts w:eastAsia="Calibri"/>
          <w:smallCaps/>
          <w:spacing w:val="-5"/>
          <w:szCs w:val="18"/>
        </w:rPr>
        <w:t xml:space="preserve">, </w:t>
      </w:r>
      <w:r w:rsidRPr="00BA097C">
        <w:rPr>
          <w:rFonts w:eastAsia="Calibri"/>
          <w:i/>
          <w:spacing w:val="-5"/>
          <w:szCs w:val="18"/>
        </w:rPr>
        <w:t>La teoria dei bisogni in Marx</w:t>
      </w:r>
      <w:r w:rsidRPr="00BA097C">
        <w:rPr>
          <w:rFonts w:eastAsia="Calibri"/>
          <w:spacing w:val="-5"/>
          <w:szCs w:val="18"/>
        </w:rPr>
        <w:t>, tr. it. Feltrinelli, Milano</w:t>
      </w:r>
      <w:r w:rsidRPr="00BA097C">
        <w:rPr>
          <w:rFonts w:eastAsia="Calibri"/>
          <w:smallCaps/>
          <w:spacing w:val="-5"/>
          <w:szCs w:val="18"/>
        </w:rPr>
        <w:t xml:space="preserve"> 1978.</w:t>
      </w:r>
      <w:r w:rsidR="0046500E">
        <w:rPr>
          <w:rFonts w:eastAsia="Calibri"/>
          <w:smallCaps/>
          <w:spacing w:val="-5"/>
          <w:szCs w:val="18"/>
        </w:rPr>
        <w:t xml:space="preserve"> </w:t>
      </w:r>
      <w:hyperlink r:id="rId8" w:history="1">
        <w:r w:rsidR="0046500E" w:rsidRPr="0046500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83028D1" w14:textId="77777777" w:rsidR="00BA097C" w:rsidRPr="00BA097C" w:rsidRDefault="00BA097C" w:rsidP="00BA097C">
      <w:pPr>
        <w:pStyle w:val="Testo1"/>
        <w:spacing w:line="240" w:lineRule="atLeast"/>
        <w:ind w:firstLine="0"/>
        <w:rPr>
          <w:rFonts w:eastAsia="Calibri"/>
          <w:spacing w:val="-5"/>
          <w:szCs w:val="18"/>
        </w:rPr>
      </w:pPr>
      <w:r w:rsidRPr="00BA097C">
        <w:rPr>
          <w:rFonts w:eastAsia="Calibri"/>
          <w:spacing w:val="-5"/>
          <w:szCs w:val="18"/>
        </w:rPr>
        <w:t>II Parte</w:t>
      </w:r>
    </w:p>
    <w:p w14:paraId="2A9A9F76" w14:textId="085BC8CF" w:rsidR="00BA097C" w:rsidRPr="00BA097C" w:rsidRDefault="00BA097C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 w:rsidRPr="00BA097C">
        <w:rPr>
          <w:rFonts w:eastAsia="Calibri"/>
          <w:smallCaps/>
          <w:sz w:val="16"/>
          <w:szCs w:val="16"/>
        </w:rPr>
        <w:t>P. Freire</w:t>
      </w:r>
      <w:r w:rsidRPr="00BA097C">
        <w:rPr>
          <w:rFonts w:eastAsia="Calibri"/>
          <w:szCs w:val="18"/>
        </w:rPr>
        <w:t xml:space="preserve">, </w:t>
      </w:r>
      <w:r w:rsidRPr="00BA097C">
        <w:rPr>
          <w:rFonts w:eastAsia="Calibri"/>
          <w:i/>
          <w:szCs w:val="18"/>
        </w:rPr>
        <w:t>La pedagogia degli oppressi (1968)</w:t>
      </w:r>
      <w:r w:rsidRPr="00BA097C">
        <w:rPr>
          <w:rFonts w:eastAsia="Calibri"/>
          <w:szCs w:val="18"/>
        </w:rPr>
        <w:t>, EGA-Edizioni Gruppo Abele, Torino, 2018.</w:t>
      </w:r>
      <w:r w:rsidRPr="00BA097C">
        <w:t xml:space="preserve"> </w:t>
      </w:r>
      <w:r w:rsidR="0046500E">
        <w:t xml:space="preserve"> </w:t>
      </w:r>
      <w:hyperlink r:id="rId9" w:history="1">
        <w:r w:rsidR="0046500E" w:rsidRPr="0046500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E43AED" w14:textId="77777777" w:rsidR="00BA097C" w:rsidRPr="00E12B05" w:rsidRDefault="00BA097C" w:rsidP="00BA097C">
      <w:pPr>
        <w:pStyle w:val="Testo1"/>
        <w:rPr>
          <w:rFonts w:eastAsia="Calibri"/>
          <w:szCs w:val="18"/>
        </w:rPr>
      </w:pPr>
      <w:r w:rsidRPr="00E12B05">
        <w:rPr>
          <w:rFonts w:eastAsia="Calibri"/>
          <w:szCs w:val="18"/>
        </w:rPr>
        <w:t>Gli studenti non-frequentanti aggiungeranno alla bibliografia precedente i seguenti testi:</w:t>
      </w:r>
    </w:p>
    <w:p w14:paraId="36B54D65" w14:textId="405AEDD6" w:rsidR="00BA097C" w:rsidRPr="00BA097C" w:rsidRDefault="00BD44E6" w:rsidP="00BA097C">
      <w:pPr>
        <w:pStyle w:val="Testo1"/>
        <w:spacing w:before="0" w:line="240" w:lineRule="atLeast"/>
        <w:rPr>
          <w:rFonts w:eastAsia="Calibri"/>
          <w:spacing w:val="-5"/>
          <w:szCs w:val="18"/>
        </w:rPr>
      </w:pPr>
      <w:r>
        <w:rPr>
          <w:rFonts w:eastAsia="Calibri"/>
          <w:smallCaps/>
          <w:sz w:val="16"/>
          <w:szCs w:val="16"/>
        </w:rPr>
        <w:t>P</w:t>
      </w:r>
      <w:r w:rsidR="00BA097C" w:rsidRPr="00BA097C">
        <w:rPr>
          <w:rFonts w:eastAsia="Calibri"/>
          <w:smallCaps/>
          <w:sz w:val="16"/>
          <w:szCs w:val="16"/>
        </w:rPr>
        <w:t xml:space="preserve">. </w:t>
      </w:r>
      <w:r>
        <w:rPr>
          <w:rFonts w:eastAsia="Calibri"/>
          <w:smallCaps/>
          <w:sz w:val="16"/>
          <w:szCs w:val="16"/>
        </w:rPr>
        <w:t>Bettineschi</w:t>
      </w:r>
      <w:r w:rsidR="00BA097C" w:rsidRPr="00BA097C">
        <w:rPr>
          <w:rFonts w:eastAsia="Calibri"/>
          <w:smallCaps/>
          <w:szCs w:val="18"/>
        </w:rPr>
        <w:t xml:space="preserve">, </w:t>
      </w:r>
      <w:r>
        <w:rPr>
          <w:rFonts w:eastAsia="Calibri"/>
          <w:i/>
          <w:szCs w:val="18"/>
        </w:rPr>
        <w:t>Etica del riparare</w:t>
      </w:r>
      <w:r w:rsidR="00BA097C" w:rsidRPr="00BA097C">
        <w:rPr>
          <w:rFonts w:eastAsia="Calibri"/>
          <w:szCs w:val="18"/>
        </w:rPr>
        <w:t xml:space="preserve">, </w:t>
      </w:r>
      <w:r>
        <w:rPr>
          <w:rFonts w:eastAsia="Calibri"/>
          <w:szCs w:val="18"/>
        </w:rPr>
        <w:t>Morcelliana</w:t>
      </w:r>
      <w:r w:rsidR="00BA097C" w:rsidRPr="00BA097C">
        <w:rPr>
          <w:rFonts w:eastAsia="Calibri"/>
          <w:szCs w:val="18"/>
        </w:rPr>
        <w:t xml:space="preserve">, </w:t>
      </w:r>
      <w:r>
        <w:rPr>
          <w:rFonts w:eastAsia="Calibri"/>
          <w:szCs w:val="18"/>
        </w:rPr>
        <w:t>Brescia</w:t>
      </w:r>
      <w:r w:rsidR="00BA097C" w:rsidRPr="00BA097C">
        <w:rPr>
          <w:rFonts w:eastAsia="Calibri"/>
          <w:szCs w:val="18"/>
        </w:rPr>
        <w:t>, 20</w:t>
      </w:r>
      <w:r>
        <w:rPr>
          <w:rFonts w:eastAsia="Calibri"/>
          <w:szCs w:val="18"/>
        </w:rPr>
        <w:t>21</w:t>
      </w:r>
      <w:r w:rsidR="00BA097C" w:rsidRPr="00BA097C">
        <w:rPr>
          <w:rFonts w:eastAsia="Calibri"/>
          <w:szCs w:val="18"/>
        </w:rPr>
        <w:t>.</w:t>
      </w:r>
      <w:r w:rsidR="00BA097C" w:rsidRPr="00BA097C">
        <w:t xml:space="preserve"> </w:t>
      </w:r>
      <w:r w:rsidR="0046500E">
        <w:t xml:space="preserve"> </w:t>
      </w:r>
      <w:hyperlink r:id="rId10" w:history="1">
        <w:r w:rsidR="0046500E" w:rsidRPr="0046500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66F77A" w14:textId="2EF63DC2" w:rsidR="00BA097C" w:rsidRPr="00E12B05" w:rsidRDefault="00BA097C" w:rsidP="00BA097C">
      <w:pPr>
        <w:pStyle w:val="Testo1"/>
        <w:spacing w:before="0" w:line="240" w:lineRule="atLeast"/>
        <w:rPr>
          <w:rFonts w:eastAsiaTheme="minorHAnsi"/>
          <w:spacing w:val="-5"/>
          <w:szCs w:val="18"/>
        </w:rPr>
      </w:pPr>
      <w:r w:rsidRPr="00BA097C">
        <w:rPr>
          <w:rFonts w:eastAsia="Calibri"/>
          <w:smallCaps/>
          <w:sz w:val="16"/>
          <w:szCs w:val="16"/>
        </w:rPr>
        <w:t>T. Pogge</w:t>
      </w:r>
      <w:r>
        <w:rPr>
          <w:rFonts w:eastAsia="Calibri"/>
          <w:smallCaps/>
          <w:szCs w:val="18"/>
        </w:rPr>
        <w:t xml:space="preserve">, </w:t>
      </w:r>
      <w:r w:rsidRPr="00DA1B1E">
        <w:rPr>
          <w:rFonts w:eastAsia="Calibri"/>
          <w:i/>
          <w:szCs w:val="18"/>
        </w:rPr>
        <w:t>Povertà mondiale e diritti umani. Responsabilità e riforme cosmopolite</w:t>
      </w:r>
      <w:r>
        <w:rPr>
          <w:rFonts w:eastAsia="Calibri"/>
          <w:szCs w:val="18"/>
        </w:rPr>
        <w:t>, tr. it. Laterza, Roma-Bari 2010.</w:t>
      </w:r>
      <w:r w:rsidR="0046500E">
        <w:rPr>
          <w:rFonts w:eastAsia="Calibri"/>
          <w:szCs w:val="18"/>
        </w:rPr>
        <w:t xml:space="preserve"> </w:t>
      </w:r>
      <w:hyperlink r:id="rId11" w:history="1">
        <w:r w:rsidR="0046500E" w:rsidRPr="0046500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D30F0B7" w14:textId="77777777" w:rsidR="00A0162F" w:rsidRDefault="00A0162F" w:rsidP="00A016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8F7DD0" w14:textId="77777777" w:rsidR="00C87F9D" w:rsidRPr="0044519A" w:rsidRDefault="00C87F9D" w:rsidP="00C87F9D">
      <w:pPr>
        <w:pStyle w:val="Testo2"/>
        <w:rPr>
          <w:rFonts w:eastAsiaTheme="minorHAnsi"/>
        </w:rPr>
      </w:pPr>
      <w:r>
        <w:rPr>
          <w:rFonts w:eastAsiaTheme="minorHAnsi"/>
        </w:rPr>
        <w:t xml:space="preserve">Corso: lezioni frontali </w:t>
      </w:r>
      <w:r w:rsidRPr="0044519A">
        <w:rPr>
          <w:rFonts w:eastAsiaTheme="minorHAnsi"/>
        </w:rPr>
        <w:t xml:space="preserve">e discussione </w:t>
      </w:r>
      <w:r>
        <w:rPr>
          <w:rFonts w:eastAsiaTheme="minorHAnsi"/>
        </w:rPr>
        <w:t>in classe sulle questioni via via analizzate</w:t>
      </w:r>
      <w:r w:rsidRPr="0044519A">
        <w:rPr>
          <w:rFonts w:eastAsiaTheme="minorHAnsi"/>
        </w:rPr>
        <w:t xml:space="preserve">. </w:t>
      </w:r>
    </w:p>
    <w:p w14:paraId="31CFEF7B" w14:textId="77777777" w:rsidR="00A0162F" w:rsidRDefault="00A0162F" w:rsidP="00A0162F">
      <w:pPr>
        <w:spacing w:before="240" w:after="120"/>
        <w:rPr>
          <w:rFonts w:eastAsiaTheme="minorHAnsi"/>
          <w:b/>
          <w:i/>
          <w:sz w:val="18"/>
        </w:rPr>
      </w:pPr>
      <w:r>
        <w:rPr>
          <w:rFonts w:eastAsiaTheme="minorHAnsi"/>
          <w:b/>
          <w:i/>
          <w:sz w:val="18"/>
        </w:rPr>
        <w:t>METODO E CRITERI DI VALUTAZIONE</w:t>
      </w:r>
    </w:p>
    <w:p w14:paraId="1123068C" w14:textId="77777777" w:rsidR="00C87F9D" w:rsidRDefault="00C87F9D" w:rsidP="00C87F9D">
      <w:pPr>
        <w:pStyle w:val="Testo2"/>
        <w:rPr>
          <w:rFonts w:eastAsiaTheme="minorHAnsi"/>
        </w:rPr>
      </w:pPr>
      <w:r w:rsidRPr="0044519A">
        <w:rPr>
          <w:rFonts w:eastAsiaTheme="minorHAnsi"/>
        </w:rPr>
        <w:t xml:space="preserve">La verifica dell’apprendimento prevede una prova orale secondo le seguenti modalità: due domande relative al modello teorico (ethics of care) e </w:t>
      </w:r>
      <w:r>
        <w:rPr>
          <w:rFonts w:eastAsiaTheme="minorHAnsi"/>
        </w:rPr>
        <w:t>due domande relative all’impegno etico e politico del Social Work nel contrasto alla povertà</w:t>
      </w:r>
      <w:r w:rsidRPr="0044519A">
        <w:rPr>
          <w:rFonts w:eastAsiaTheme="minorHAnsi"/>
        </w:rPr>
        <w:t xml:space="preserve">. La prova è valutata in trentesimi e il voto finale </w:t>
      </w:r>
      <w:r>
        <w:rPr>
          <w:rFonts w:eastAsiaTheme="minorHAnsi"/>
        </w:rPr>
        <w:t>si baserà sueguenti criteri</w:t>
      </w:r>
      <w:r w:rsidRPr="0044519A">
        <w:rPr>
          <w:rFonts w:eastAsiaTheme="minorHAnsi"/>
        </w:rPr>
        <w:t>:</w:t>
      </w:r>
    </w:p>
    <w:p w14:paraId="07BED991" w14:textId="77777777" w:rsidR="00C87F9D" w:rsidRDefault="00C87F9D" w:rsidP="00C87F9D">
      <w:pPr>
        <w:pStyle w:val="Testo2"/>
        <w:ind w:left="567" w:hanging="284"/>
      </w:pPr>
      <w:r>
        <w:t>a.</w:t>
      </w:r>
      <w:r>
        <w:tab/>
        <w:t xml:space="preserve">la pertinenza delle risposte e la coerenza logica discorso (40%); </w:t>
      </w:r>
    </w:p>
    <w:p w14:paraId="3FAD45B3" w14:textId="77777777" w:rsidR="00C87F9D" w:rsidRDefault="00C87F9D" w:rsidP="00C87F9D">
      <w:pPr>
        <w:pStyle w:val="Testo2"/>
        <w:ind w:left="567" w:hanging="284"/>
      </w:pPr>
      <w:r>
        <w:t xml:space="preserve">b. </w:t>
      </w:r>
      <w:r>
        <w:tab/>
        <w:t>la padronanza della terminologia specifica della disciplina e l’abilità nello stabilire e giustificare nessi argomentativi, relativamente a temi e concetti sviluppati durante il corso (40%);</w:t>
      </w:r>
    </w:p>
    <w:p w14:paraId="7557BC71" w14:textId="77777777" w:rsidR="00A0162F" w:rsidRPr="00A0162F" w:rsidRDefault="00C87F9D" w:rsidP="00C87F9D">
      <w:pPr>
        <w:pStyle w:val="Testo2"/>
        <w:ind w:left="567" w:hanging="284"/>
      </w:pPr>
      <w:r>
        <w:t>c.</w:t>
      </w:r>
      <w:r>
        <w:tab/>
        <w:t>le abilità comunicative mostrate durante il colloquio (20%)</w:t>
      </w:r>
      <w:r w:rsidR="00A0162F">
        <w:t>.</w:t>
      </w:r>
    </w:p>
    <w:p w14:paraId="41E521C7" w14:textId="52253C69" w:rsidR="00A0162F" w:rsidRDefault="00A0162F" w:rsidP="00A0162F">
      <w:pPr>
        <w:spacing w:before="240" w:after="120"/>
        <w:rPr>
          <w:rFonts w:eastAsiaTheme="minorHAnsi"/>
          <w:b/>
          <w:i/>
          <w:sz w:val="18"/>
        </w:rPr>
      </w:pPr>
      <w:r>
        <w:rPr>
          <w:rFonts w:eastAsiaTheme="minorHAnsi"/>
          <w:b/>
          <w:i/>
          <w:sz w:val="18"/>
        </w:rPr>
        <w:lastRenderedPageBreak/>
        <w:t>AVVERTENZE</w:t>
      </w:r>
      <w:r w:rsidR="00451610">
        <w:rPr>
          <w:rFonts w:eastAsiaTheme="minorHAnsi"/>
          <w:b/>
          <w:i/>
          <w:sz w:val="18"/>
        </w:rPr>
        <w:t xml:space="preserve"> E PREREQUISITI</w:t>
      </w:r>
    </w:p>
    <w:p w14:paraId="548C4CF4" w14:textId="77777777" w:rsidR="00A0162F" w:rsidRPr="00E833DC" w:rsidRDefault="00A0162F" w:rsidP="00A0162F">
      <w:pPr>
        <w:pStyle w:val="Testo2"/>
        <w:rPr>
          <w:rFonts w:eastAsiaTheme="minorHAnsi"/>
          <w:i/>
        </w:rPr>
      </w:pPr>
      <w:r w:rsidRPr="00E833DC">
        <w:rPr>
          <w:rFonts w:eastAsiaTheme="minorHAnsi"/>
          <w:i/>
        </w:rPr>
        <w:t>Orario e luogo di ricevimento</w:t>
      </w:r>
    </w:p>
    <w:p w14:paraId="257110D2" w14:textId="77777777" w:rsidR="00A0162F" w:rsidRPr="00A0162F" w:rsidRDefault="00C87F9D" w:rsidP="00C87F9D">
      <w:pPr>
        <w:pStyle w:val="Testo2"/>
      </w:pPr>
      <w:r w:rsidRPr="00E833DC">
        <w:rPr>
          <w:rFonts w:eastAsiaTheme="minorHAnsi"/>
        </w:rPr>
        <w:t>Il Prof Paolo Gomarasca riceve gli studenti in Dipartimento di Filosofia, previo appuntamento da concordare via e-ma</w:t>
      </w:r>
      <w:r>
        <w:rPr>
          <w:rFonts w:eastAsiaTheme="minorHAnsi"/>
        </w:rPr>
        <w:t>il (</w:t>
      </w:r>
      <w:r w:rsidRPr="005D7792">
        <w:rPr>
          <w:rFonts w:eastAsiaTheme="minorHAnsi"/>
          <w:i/>
        </w:rPr>
        <w:t>paolo.gomarasca@unicatt.it</w:t>
      </w:r>
      <w:r>
        <w:rPr>
          <w:rFonts w:eastAsiaTheme="minorHAnsi"/>
        </w:rPr>
        <w:t>)</w:t>
      </w:r>
      <w:r w:rsidR="00A0162F">
        <w:rPr>
          <w:rFonts w:eastAsiaTheme="minorHAnsi"/>
        </w:rPr>
        <w:t>.</w:t>
      </w:r>
    </w:p>
    <w:sectPr w:rsidR="00A0162F" w:rsidRPr="00A016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3DC" w14:textId="77777777" w:rsidR="00033B46" w:rsidRDefault="00033B46" w:rsidP="0032361D">
      <w:pPr>
        <w:spacing w:line="240" w:lineRule="auto"/>
      </w:pPr>
      <w:r>
        <w:separator/>
      </w:r>
    </w:p>
  </w:endnote>
  <w:endnote w:type="continuationSeparator" w:id="0">
    <w:p w14:paraId="3AC9B941" w14:textId="77777777" w:rsidR="00033B46" w:rsidRDefault="00033B46" w:rsidP="00323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1C81" w14:textId="77777777" w:rsidR="00033B46" w:rsidRDefault="00033B46" w:rsidP="0032361D">
      <w:pPr>
        <w:spacing w:line="240" w:lineRule="auto"/>
      </w:pPr>
      <w:r>
        <w:separator/>
      </w:r>
    </w:p>
  </w:footnote>
  <w:footnote w:type="continuationSeparator" w:id="0">
    <w:p w14:paraId="40F6B00F" w14:textId="77777777" w:rsidR="00033B46" w:rsidRDefault="00033B46" w:rsidP="0032361D">
      <w:pPr>
        <w:spacing w:line="240" w:lineRule="auto"/>
      </w:pPr>
      <w:r>
        <w:continuationSeparator/>
      </w:r>
    </w:p>
  </w:footnote>
  <w:footnote w:id="1">
    <w:p w14:paraId="245E9257" w14:textId="1F31933C" w:rsidR="0046500E" w:rsidRDefault="004650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2F"/>
    <w:rsid w:val="00033B46"/>
    <w:rsid w:val="00187B99"/>
    <w:rsid w:val="00196ECF"/>
    <w:rsid w:val="002014DD"/>
    <w:rsid w:val="002D5E17"/>
    <w:rsid w:val="0032361D"/>
    <w:rsid w:val="00451610"/>
    <w:rsid w:val="0046500E"/>
    <w:rsid w:val="004D1217"/>
    <w:rsid w:val="004D6008"/>
    <w:rsid w:val="005A6E18"/>
    <w:rsid w:val="00640794"/>
    <w:rsid w:val="006F1772"/>
    <w:rsid w:val="00731B86"/>
    <w:rsid w:val="008942E7"/>
    <w:rsid w:val="008A1204"/>
    <w:rsid w:val="00900CCA"/>
    <w:rsid w:val="009136B2"/>
    <w:rsid w:val="00924B77"/>
    <w:rsid w:val="00940DA2"/>
    <w:rsid w:val="00984A1F"/>
    <w:rsid w:val="009E055C"/>
    <w:rsid w:val="00A0162F"/>
    <w:rsid w:val="00A44F21"/>
    <w:rsid w:val="00A74F6F"/>
    <w:rsid w:val="00A92B93"/>
    <w:rsid w:val="00AD7557"/>
    <w:rsid w:val="00B50C5D"/>
    <w:rsid w:val="00B51253"/>
    <w:rsid w:val="00B525CC"/>
    <w:rsid w:val="00B82F5C"/>
    <w:rsid w:val="00BA097C"/>
    <w:rsid w:val="00BD44E6"/>
    <w:rsid w:val="00C87F9D"/>
    <w:rsid w:val="00D404F2"/>
    <w:rsid w:val="00D64452"/>
    <w:rsid w:val="00D7203C"/>
    <w:rsid w:val="00E53FE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2B577"/>
  <w15:docId w15:val="{17433415-B68C-44DF-9632-7BB3683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B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236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61D"/>
  </w:style>
  <w:style w:type="character" w:styleId="Rimandonotaapidipagina">
    <w:name w:val="footnote reference"/>
    <w:basedOn w:val="Carpredefinitoparagrafo"/>
    <w:rsid w:val="0032361D"/>
    <w:rPr>
      <w:vertAlign w:val="superscript"/>
    </w:rPr>
  </w:style>
  <w:style w:type="character" w:styleId="Collegamentoipertestuale">
    <w:name w:val="Hyperlink"/>
    <w:basedOn w:val="Carpredefinitoparagrafo"/>
    <w:rsid w:val="003236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gnes-heller/la-teoria-dei-bisogni-in-marx-9788857579252-69715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o-gomarasca/etica-del-cibo-9788837234379-69397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ogge-thomas/poverta-mondiale-e-diritti-umani-9788842089605-28554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aolo-bettineschi/etica-del-riparare-9788837234386-6934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ulo-freire/pedagogia-degli-oppressi-9788865792827-71589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5956-5D85-44AB-B7C1-91E72404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624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2023-05-09T07:49:00Z</dcterms:created>
  <dcterms:modified xsi:type="dcterms:W3CDTF">2023-07-05T09:53:00Z</dcterms:modified>
</cp:coreProperties>
</file>