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3657" w14:textId="77777777" w:rsidR="00DA5135" w:rsidRPr="00323219" w:rsidRDefault="00942386" w:rsidP="00DA5135">
      <w:pPr>
        <w:pStyle w:val="Titolo1"/>
        <w:rPr>
          <w:rFonts w:cs="Times"/>
          <w:szCs w:val="18"/>
        </w:rPr>
      </w:pPr>
      <w:r w:rsidRPr="00323219">
        <w:rPr>
          <w:rFonts w:cs="Times"/>
          <w:szCs w:val="18"/>
        </w:rPr>
        <w:t>D</w:t>
      </w:r>
      <w:r w:rsidR="00DA5135" w:rsidRPr="00323219">
        <w:rPr>
          <w:rFonts w:cs="Times"/>
          <w:szCs w:val="18"/>
        </w:rPr>
        <w:t>iritto del lavoro</w:t>
      </w:r>
    </w:p>
    <w:p w14:paraId="1998735C" w14:textId="77777777" w:rsidR="00DA5135" w:rsidRPr="00323219" w:rsidRDefault="00DE137B" w:rsidP="00DA5135">
      <w:pPr>
        <w:pStyle w:val="Titolo2"/>
        <w:rPr>
          <w:rFonts w:cs="Times"/>
          <w:szCs w:val="18"/>
        </w:rPr>
      </w:pPr>
      <w:r>
        <w:rPr>
          <w:rFonts w:cs="Times"/>
          <w:szCs w:val="18"/>
        </w:rPr>
        <w:t xml:space="preserve">Prof. </w:t>
      </w:r>
      <w:r w:rsidR="009E4DC3" w:rsidRPr="00323219">
        <w:rPr>
          <w:rFonts w:cs="Times"/>
          <w:szCs w:val="18"/>
        </w:rPr>
        <w:t>Nicolò Rossi</w:t>
      </w:r>
    </w:p>
    <w:p w14:paraId="088E5C67" w14:textId="77777777" w:rsidR="008B0C85" w:rsidRPr="00323219" w:rsidRDefault="00DA5135" w:rsidP="008B0C85">
      <w:pPr>
        <w:spacing w:before="240" w:after="120"/>
        <w:rPr>
          <w:rFonts w:ascii="Times" w:eastAsia="Times New Roman" w:hAnsi="Times" w:cs="Times"/>
          <w:b/>
          <w:i/>
          <w:smallCaps/>
          <w:color w:val="000000"/>
          <w:sz w:val="18"/>
          <w:szCs w:val="18"/>
        </w:rPr>
      </w:pPr>
      <w:r w:rsidRPr="00323219">
        <w:rPr>
          <w:rFonts w:ascii="Times" w:hAnsi="Times" w:cs="Times"/>
          <w:b/>
          <w:i/>
          <w:smallCaps/>
          <w:sz w:val="18"/>
          <w:szCs w:val="18"/>
        </w:rPr>
        <w:t>OBIETTIVO DEL CORSO</w:t>
      </w:r>
      <w:r w:rsidR="008B0C85" w:rsidRPr="00323219">
        <w:rPr>
          <w:rFonts w:ascii="Times" w:hAnsi="Times" w:cs="Times"/>
          <w:b/>
          <w:i/>
          <w:smallCaps/>
          <w:sz w:val="18"/>
          <w:szCs w:val="18"/>
        </w:rPr>
        <w:t xml:space="preserve"> E </w:t>
      </w:r>
      <w:r w:rsidR="008B0C85" w:rsidRPr="00323219">
        <w:rPr>
          <w:rFonts w:ascii="Times" w:hAnsi="Times" w:cs="Times"/>
          <w:b/>
          <w:i/>
          <w:smallCaps/>
          <w:color w:val="000000"/>
          <w:sz w:val="18"/>
          <w:szCs w:val="18"/>
        </w:rPr>
        <w:t>RISULTATI DI APPRENDIMENTO ATTESI</w:t>
      </w:r>
    </w:p>
    <w:p w14:paraId="587B95F0" w14:textId="77777777" w:rsidR="00647031" w:rsidRPr="00323219" w:rsidRDefault="00EE2F63" w:rsidP="00323219">
      <w:pPr>
        <w:pStyle w:val="NormaleWeb"/>
        <w:spacing w:before="120" w:beforeAutospacing="0" w:after="12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L’insegnamento si propone di </w:t>
      </w:r>
      <w:r w:rsidR="00071B8B">
        <w:rPr>
          <w:sz w:val="20"/>
          <w:szCs w:val="18"/>
        </w:rPr>
        <w:t>fare apprendere</w:t>
      </w:r>
      <w:r w:rsidR="00071B8B" w:rsidRPr="00323219">
        <w:rPr>
          <w:sz w:val="20"/>
          <w:szCs w:val="18"/>
        </w:rPr>
        <w:t xml:space="preserve"> </w:t>
      </w:r>
      <w:r w:rsidR="00647031" w:rsidRPr="00323219">
        <w:rPr>
          <w:sz w:val="20"/>
          <w:szCs w:val="18"/>
        </w:rPr>
        <w:t xml:space="preserve">gli strumenti e le tecniche giuridiche fondamentali per la gestione delle risorse umane e delle relazioni sindacali nelle imprese, </w:t>
      </w:r>
      <w:r w:rsidR="009E4DC3" w:rsidRPr="00323219">
        <w:rPr>
          <w:sz w:val="20"/>
          <w:szCs w:val="18"/>
        </w:rPr>
        <w:t>onde sviluppare</w:t>
      </w:r>
      <w:r w:rsidR="00647031" w:rsidRPr="00323219">
        <w:rPr>
          <w:sz w:val="20"/>
          <w:szCs w:val="18"/>
        </w:rPr>
        <w:t xml:space="preserve"> l’attitudine a esaminare con linguaggio appropriato, autonomia concettuale e spirito critico </w:t>
      </w:r>
      <w:r w:rsidR="00764FB3" w:rsidRPr="00323219">
        <w:rPr>
          <w:sz w:val="20"/>
          <w:szCs w:val="18"/>
        </w:rPr>
        <w:t xml:space="preserve">la disciplina </w:t>
      </w:r>
      <w:r w:rsidR="00647031" w:rsidRPr="00323219">
        <w:rPr>
          <w:sz w:val="20"/>
          <w:szCs w:val="18"/>
        </w:rPr>
        <w:t xml:space="preserve">del </w:t>
      </w:r>
      <w:r w:rsidR="00E926B6">
        <w:rPr>
          <w:sz w:val="20"/>
          <w:szCs w:val="18"/>
        </w:rPr>
        <w:t>d</w:t>
      </w:r>
      <w:r w:rsidR="00647031" w:rsidRPr="00323219">
        <w:rPr>
          <w:sz w:val="20"/>
          <w:szCs w:val="18"/>
        </w:rPr>
        <w:t>iritto del lavoro vigente. A partire dall’analisi del dato normativo</w:t>
      </w:r>
      <w:r w:rsidR="009E4DC3" w:rsidRPr="00323219">
        <w:rPr>
          <w:sz w:val="20"/>
          <w:szCs w:val="18"/>
        </w:rPr>
        <w:t>,</w:t>
      </w:r>
      <w:r w:rsidR="00647031" w:rsidRPr="00323219">
        <w:rPr>
          <w:sz w:val="20"/>
          <w:szCs w:val="18"/>
        </w:rPr>
        <w:t xml:space="preserve"> scopo dell’insegnamento è illustrare metodologie e soluzioni </w:t>
      </w:r>
      <w:r w:rsidR="0016348F" w:rsidRPr="00323219">
        <w:rPr>
          <w:sz w:val="20"/>
          <w:szCs w:val="18"/>
        </w:rPr>
        <w:t>giuridiche</w:t>
      </w:r>
      <w:r w:rsidR="00701B3E">
        <w:rPr>
          <w:sz w:val="20"/>
          <w:szCs w:val="18"/>
        </w:rPr>
        <w:t xml:space="preserve"> adeguate</w:t>
      </w:r>
      <w:r w:rsidR="0016348F" w:rsidRPr="00323219">
        <w:rPr>
          <w:sz w:val="20"/>
          <w:szCs w:val="18"/>
        </w:rPr>
        <w:t xml:space="preserve">, </w:t>
      </w:r>
      <w:r w:rsidR="00764FB3" w:rsidRPr="00323219">
        <w:rPr>
          <w:sz w:val="20"/>
          <w:szCs w:val="18"/>
        </w:rPr>
        <w:t xml:space="preserve">anche </w:t>
      </w:r>
      <w:r w:rsidR="00647031" w:rsidRPr="00323219">
        <w:rPr>
          <w:sz w:val="20"/>
          <w:szCs w:val="18"/>
        </w:rPr>
        <w:t xml:space="preserve">sulla base delle prassi che caratterizzano </w:t>
      </w:r>
      <w:r w:rsidR="00E926B6">
        <w:rPr>
          <w:sz w:val="20"/>
          <w:szCs w:val="18"/>
        </w:rPr>
        <w:t>in concreto</w:t>
      </w:r>
      <w:r w:rsidR="00647031" w:rsidRPr="00323219">
        <w:rPr>
          <w:sz w:val="20"/>
          <w:szCs w:val="18"/>
        </w:rPr>
        <w:t xml:space="preserve"> gli assetti e i comportamenti delle parti nei rapporti di lavoro. </w:t>
      </w:r>
      <w:r w:rsidR="0016348F" w:rsidRPr="00323219">
        <w:rPr>
          <w:sz w:val="20"/>
          <w:szCs w:val="18"/>
        </w:rPr>
        <w:t>Attraverso</w:t>
      </w:r>
      <w:r w:rsidR="00647031" w:rsidRPr="00323219">
        <w:rPr>
          <w:sz w:val="20"/>
          <w:szCs w:val="18"/>
        </w:rPr>
        <w:t xml:space="preserve"> un approccio teorico accompagnato dalla illustrazione di casi applicativi</w:t>
      </w:r>
      <w:r w:rsidR="0016348F" w:rsidRPr="00323219">
        <w:rPr>
          <w:sz w:val="20"/>
          <w:szCs w:val="18"/>
        </w:rPr>
        <w:t>,</w:t>
      </w:r>
      <w:r w:rsidR="00647031" w:rsidRPr="00323219">
        <w:rPr>
          <w:sz w:val="20"/>
          <w:szCs w:val="18"/>
        </w:rPr>
        <w:t xml:space="preserve"> si intende condurre lo studente a una </w:t>
      </w:r>
      <w:r w:rsidR="0016348F" w:rsidRPr="00323219">
        <w:rPr>
          <w:sz w:val="20"/>
          <w:szCs w:val="18"/>
        </w:rPr>
        <w:t xml:space="preserve">sicura </w:t>
      </w:r>
      <w:r w:rsidR="00647031" w:rsidRPr="00323219">
        <w:rPr>
          <w:sz w:val="20"/>
          <w:szCs w:val="18"/>
        </w:rPr>
        <w:t xml:space="preserve">comprensione della disciplina, </w:t>
      </w:r>
      <w:r w:rsidR="0016348F" w:rsidRPr="00323219">
        <w:rPr>
          <w:sz w:val="20"/>
          <w:szCs w:val="18"/>
        </w:rPr>
        <w:t>che permetta di inquadrare</w:t>
      </w:r>
      <w:r w:rsidR="00E926B6">
        <w:rPr>
          <w:sz w:val="20"/>
          <w:szCs w:val="18"/>
        </w:rPr>
        <w:t xml:space="preserve"> dal punto di vista giuridico</w:t>
      </w:r>
      <w:r w:rsidR="00647031" w:rsidRPr="00323219">
        <w:rPr>
          <w:sz w:val="20"/>
          <w:szCs w:val="18"/>
        </w:rPr>
        <w:t xml:space="preserve"> i fenomeni del mercato e dei rapporti di lavoro, </w:t>
      </w:r>
      <w:r w:rsidR="00764FB3" w:rsidRPr="00323219">
        <w:rPr>
          <w:sz w:val="20"/>
          <w:szCs w:val="18"/>
        </w:rPr>
        <w:t xml:space="preserve">nel </w:t>
      </w:r>
      <w:r w:rsidR="00E926B6">
        <w:rPr>
          <w:sz w:val="20"/>
          <w:szCs w:val="18"/>
        </w:rPr>
        <w:t>contesto</w:t>
      </w:r>
      <w:r w:rsidR="00764FB3" w:rsidRPr="00323219">
        <w:rPr>
          <w:sz w:val="20"/>
          <w:szCs w:val="18"/>
        </w:rPr>
        <w:t xml:space="preserve"> degli studi </w:t>
      </w:r>
      <w:r w:rsidR="002C5AA7" w:rsidRPr="00323219">
        <w:rPr>
          <w:sz w:val="20"/>
          <w:szCs w:val="18"/>
        </w:rPr>
        <w:t xml:space="preserve">sociali </w:t>
      </w:r>
      <w:r w:rsidR="00647031" w:rsidRPr="00323219">
        <w:rPr>
          <w:sz w:val="20"/>
          <w:szCs w:val="18"/>
        </w:rPr>
        <w:t>del proprio percorso formativo.</w:t>
      </w:r>
    </w:p>
    <w:p w14:paraId="1833ECB6" w14:textId="77777777" w:rsidR="0053211B" w:rsidRPr="00323219" w:rsidRDefault="00F66B14" w:rsidP="0053211B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Theme="minorHAnsi"/>
          <w:szCs w:val="18"/>
          <w:lang w:eastAsia="en-US"/>
        </w:rPr>
      </w:pPr>
      <w:r w:rsidRPr="00323219">
        <w:rPr>
          <w:rFonts w:eastAsiaTheme="minorHAnsi"/>
          <w:szCs w:val="18"/>
          <w:lang w:eastAsia="en-US"/>
        </w:rPr>
        <w:t>Al termine del corso, lo studente:</w:t>
      </w:r>
    </w:p>
    <w:p w14:paraId="1B0CB166" w14:textId="77777777" w:rsidR="00C976A9" w:rsidRDefault="00827A15" w:rsidP="00C976A9">
      <w:pPr>
        <w:autoSpaceDE w:val="0"/>
        <w:autoSpaceDN w:val="0"/>
        <w:adjustRightInd w:val="0"/>
        <w:spacing w:line="240" w:lineRule="auto"/>
        <w:ind w:left="284" w:hanging="284"/>
        <w:rPr>
          <w:szCs w:val="18"/>
        </w:rPr>
      </w:pPr>
      <w:r w:rsidRPr="00323219">
        <w:rPr>
          <w:szCs w:val="18"/>
        </w:rPr>
        <w:t>1.</w:t>
      </w:r>
      <w:r w:rsidRPr="00323219">
        <w:rPr>
          <w:szCs w:val="18"/>
        </w:rPr>
        <w:tab/>
      </w:r>
      <w:r w:rsidR="00F66B14" w:rsidRPr="00323219">
        <w:rPr>
          <w:szCs w:val="18"/>
        </w:rPr>
        <w:t xml:space="preserve">conoscerà e saprà comprendere </w:t>
      </w:r>
      <w:r w:rsidR="00594786">
        <w:rPr>
          <w:szCs w:val="18"/>
        </w:rPr>
        <w:t xml:space="preserve">le categorie giuridiche e </w:t>
      </w:r>
      <w:r w:rsidR="00F66B14" w:rsidRPr="00323219">
        <w:rPr>
          <w:szCs w:val="18"/>
        </w:rPr>
        <w:t xml:space="preserve">i tratti </w:t>
      </w:r>
      <w:r w:rsidR="00E926B6">
        <w:rPr>
          <w:szCs w:val="18"/>
        </w:rPr>
        <w:t>principali</w:t>
      </w:r>
      <w:r w:rsidR="00764FB3" w:rsidRPr="00323219">
        <w:rPr>
          <w:szCs w:val="18"/>
        </w:rPr>
        <w:t xml:space="preserve"> </w:t>
      </w:r>
      <w:r w:rsidR="00F66B14" w:rsidRPr="00323219">
        <w:rPr>
          <w:szCs w:val="18"/>
        </w:rPr>
        <w:t xml:space="preserve">del </w:t>
      </w:r>
      <w:r w:rsidR="00E926B6">
        <w:rPr>
          <w:szCs w:val="18"/>
        </w:rPr>
        <w:t>d</w:t>
      </w:r>
      <w:r w:rsidR="00F66B14" w:rsidRPr="00323219">
        <w:rPr>
          <w:szCs w:val="18"/>
        </w:rPr>
        <w:t xml:space="preserve">iritto del lavoro, </w:t>
      </w:r>
      <w:r w:rsidR="00594786">
        <w:rPr>
          <w:szCs w:val="18"/>
        </w:rPr>
        <w:t xml:space="preserve">sia con riguardo ai rapporti individuali di lavoro sia con riguardo alle </w:t>
      </w:r>
      <w:r w:rsidR="00C976A9">
        <w:rPr>
          <w:szCs w:val="18"/>
        </w:rPr>
        <w:t>relazioni</w:t>
      </w:r>
      <w:r w:rsidR="00594786">
        <w:rPr>
          <w:szCs w:val="18"/>
        </w:rPr>
        <w:t xml:space="preserve"> sindacali, </w:t>
      </w:r>
      <w:r w:rsidR="00C976A9">
        <w:rPr>
          <w:szCs w:val="18"/>
        </w:rPr>
        <w:t>acquisendo capacità di analisi e di valutazione delle dinamiche che caratterizzano in concreto la materia, anche con riferimento agli aspetti più attuali del lavoro prestato all’interno dei contesti tecnologici dell’Industria 4.0</w:t>
      </w:r>
      <w:r w:rsidR="00D95D89">
        <w:rPr>
          <w:szCs w:val="18"/>
        </w:rPr>
        <w:t>;</w:t>
      </w:r>
    </w:p>
    <w:p w14:paraId="50FE6122" w14:textId="77777777" w:rsidR="00705A91" w:rsidRDefault="00827A15" w:rsidP="00D95D8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  <w:lang w:eastAsia="en-US"/>
        </w:rPr>
      </w:pPr>
      <w:r w:rsidRPr="00323219">
        <w:rPr>
          <w:rFonts w:eastAsiaTheme="minorHAnsi"/>
          <w:szCs w:val="18"/>
          <w:lang w:eastAsia="en-US"/>
        </w:rPr>
        <w:t>2.</w:t>
      </w:r>
      <w:r w:rsidRPr="00323219">
        <w:rPr>
          <w:rFonts w:eastAsiaTheme="minorHAnsi"/>
          <w:szCs w:val="18"/>
          <w:lang w:eastAsia="en-US"/>
        </w:rPr>
        <w:tab/>
      </w:r>
      <w:r w:rsidR="004C6055">
        <w:rPr>
          <w:rFonts w:eastAsiaTheme="minorHAnsi"/>
          <w:szCs w:val="18"/>
          <w:lang w:eastAsia="en-US"/>
        </w:rPr>
        <w:t xml:space="preserve">sarà in grado di affrontare problemi relativi ai rapporti di lavoro e alle relazioni sindacali, </w:t>
      </w:r>
      <w:r w:rsidR="00F064B5">
        <w:rPr>
          <w:rFonts w:eastAsiaTheme="minorHAnsi"/>
          <w:szCs w:val="18"/>
          <w:lang w:eastAsia="en-US"/>
        </w:rPr>
        <w:t xml:space="preserve">valutando i diversi risvolti pratici delle questioni esaminate </w:t>
      </w:r>
      <w:r w:rsidR="00845F0D">
        <w:rPr>
          <w:rFonts w:eastAsiaTheme="minorHAnsi"/>
          <w:szCs w:val="18"/>
          <w:lang w:eastAsia="en-US"/>
        </w:rPr>
        <w:t xml:space="preserve">e </w:t>
      </w:r>
      <w:r w:rsidR="00705A91">
        <w:rPr>
          <w:rFonts w:eastAsiaTheme="minorHAnsi"/>
          <w:szCs w:val="18"/>
          <w:lang w:eastAsia="en-US"/>
        </w:rPr>
        <w:t>facendo uso delle categorie giuridiche necessarie alla risoluzione delle controversie</w:t>
      </w:r>
      <w:r w:rsidR="00D95D89">
        <w:rPr>
          <w:rFonts w:eastAsiaTheme="minorHAnsi"/>
          <w:szCs w:val="18"/>
          <w:lang w:eastAsia="en-US"/>
        </w:rPr>
        <w:t>;</w:t>
      </w:r>
    </w:p>
    <w:p w14:paraId="49E12F57" w14:textId="77777777" w:rsidR="00D95D89" w:rsidRDefault="00827A15" w:rsidP="00D95D8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  <w:lang w:eastAsia="en-US"/>
        </w:rPr>
      </w:pPr>
      <w:r w:rsidRPr="00323219">
        <w:rPr>
          <w:rFonts w:eastAsiaTheme="minorHAnsi"/>
          <w:szCs w:val="18"/>
          <w:lang w:eastAsia="en-US"/>
        </w:rPr>
        <w:t>3.</w:t>
      </w:r>
      <w:r w:rsidRPr="00323219">
        <w:rPr>
          <w:rFonts w:eastAsiaTheme="minorHAnsi"/>
          <w:szCs w:val="18"/>
          <w:lang w:eastAsia="en-US"/>
        </w:rPr>
        <w:tab/>
      </w:r>
      <w:r w:rsidR="005A19FC" w:rsidRPr="00323219">
        <w:rPr>
          <w:rFonts w:eastAsiaTheme="minorHAnsi"/>
          <w:szCs w:val="18"/>
          <w:lang w:eastAsia="en-US"/>
        </w:rPr>
        <w:t xml:space="preserve">saprà </w:t>
      </w:r>
      <w:r w:rsidR="00705A91">
        <w:rPr>
          <w:rFonts w:eastAsiaTheme="minorHAnsi"/>
          <w:szCs w:val="18"/>
          <w:lang w:eastAsia="en-US"/>
        </w:rPr>
        <w:t>selezionare criticamente le informazioni provenienti dai diversi ambienti professionali e contesti aziendali, in funzione dello sviluppo di una propria autonomia di giudizio e di una capacità di argomentazione delle soluzioni di volta in volta individuate</w:t>
      </w:r>
      <w:r w:rsidR="0058439A">
        <w:rPr>
          <w:rFonts w:eastAsiaTheme="minorHAnsi"/>
          <w:szCs w:val="18"/>
          <w:lang w:eastAsia="en-US"/>
        </w:rPr>
        <w:t>, anche alla luce delle implicazioni sociali ed etiche connesse al particolare coinvolgimento della persona nel rapporto di lavoro</w:t>
      </w:r>
      <w:r w:rsidR="00D95D89">
        <w:rPr>
          <w:rFonts w:eastAsiaTheme="minorHAnsi"/>
          <w:szCs w:val="18"/>
          <w:lang w:eastAsia="en-US"/>
        </w:rPr>
        <w:t>;</w:t>
      </w:r>
    </w:p>
    <w:p w14:paraId="5EE1FC36" w14:textId="77777777" w:rsidR="00D95D89" w:rsidRDefault="00D95D89" w:rsidP="00D95D8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4.   saprà inoltre comunicare informazioni, idee, problemi e soluzioni a interlocutori specialisti (giuristi) e non specialisti, facendo corretto uso di un linguaggio giuridico appropriato;</w:t>
      </w:r>
    </w:p>
    <w:p w14:paraId="1E959B21" w14:textId="77777777" w:rsidR="00D95D89" w:rsidRDefault="00D95D89" w:rsidP="00D95D8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 xml:space="preserve">5. avrà sviluppato </w:t>
      </w:r>
      <w:r w:rsidR="000D7156">
        <w:rPr>
          <w:rFonts w:eastAsiaTheme="minorHAnsi"/>
          <w:szCs w:val="18"/>
          <w:lang w:eastAsia="en-US"/>
        </w:rPr>
        <w:t xml:space="preserve">spirito critico e </w:t>
      </w:r>
      <w:r>
        <w:rPr>
          <w:rFonts w:eastAsiaTheme="minorHAnsi"/>
          <w:szCs w:val="18"/>
          <w:lang w:eastAsia="en-US"/>
        </w:rPr>
        <w:t xml:space="preserve">capacità di apprendimento </w:t>
      </w:r>
      <w:r w:rsidR="000D7156">
        <w:rPr>
          <w:rFonts w:eastAsiaTheme="minorHAnsi"/>
          <w:szCs w:val="18"/>
          <w:lang w:eastAsia="en-US"/>
        </w:rPr>
        <w:t>che potranno consentirgli di</w:t>
      </w:r>
      <w:r>
        <w:rPr>
          <w:rFonts w:eastAsiaTheme="minorHAnsi"/>
          <w:szCs w:val="18"/>
          <w:lang w:eastAsia="en-US"/>
        </w:rPr>
        <w:t xml:space="preserve"> </w:t>
      </w:r>
      <w:r w:rsidR="000D7156">
        <w:rPr>
          <w:rFonts w:eastAsiaTheme="minorHAnsi"/>
          <w:szCs w:val="18"/>
          <w:lang w:eastAsia="en-US"/>
        </w:rPr>
        <w:t xml:space="preserve">intraprendere in autonomia </w:t>
      </w:r>
      <w:r w:rsidR="004F501A">
        <w:rPr>
          <w:rFonts w:eastAsiaTheme="minorHAnsi"/>
          <w:szCs w:val="18"/>
          <w:lang w:eastAsia="en-US"/>
        </w:rPr>
        <w:t>successivi studi di diritto del lavoro e di orientarsi di fronte ai futuri mutamenti del quadro normativo.</w:t>
      </w:r>
    </w:p>
    <w:p w14:paraId="6C6D0FF6" w14:textId="77777777" w:rsidR="004124DD" w:rsidRDefault="004124DD" w:rsidP="00DA5135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</w:p>
    <w:p w14:paraId="2F0A3B71" w14:textId="77777777" w:rsidR="00DA5135" w:rsidRPr="00323219" w:rsidRDefault="00DA5135" w:rsidP="00DA5135">
      <w:pPr>
        <w:spacing w:before="240" w:after="120"/>
        <w:rPr>
          <w:rFonts w:ascii="Times" w:hAnsi="Times" w:cs="Times"/>
          <w:b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lastRenderedPageBreak/>
        <w:t>PROGRAMMA DEL CORSO</w:t>
      </w:r>
    </w:p>
    <w:p w14:paraId="36972742" w14:textId="77777777" w:rsidR="005A0246" w:rsidRPr="00323219" w:rsidRDefault="005A0246" w:rsidP="005A0246">
      <w:pPr>
        <w:rPr>
          <w:szCs w:val="18"/>
        </w:rPr>
      </w:pPr>
      <w:r w:rsidRPr="00323219">
        <w:rPr>
          <w:szCs w:val="18"/>
        </w:rPr>
        <w:t>Il corso affronta</w:t>
      </w:r>
      <w:r w:rsidR="004124DD">
        <w:rPr>
          <w:szCs w:val="18"/>
        </w:rPr>
        <w:t xml:space="preserve"> anzitutto</w:t>
      </w:r>
      <w:r w:rsidRPr="00323219">
        <w:rPr>
          <w:szCs w:val="18"/>
        </w:rPr>
        <w:t xml:space="preserve"> i rapporti di lavoro individuali e</w:t>
      </w:r>
      <w:r w:rsidR="004124DD">
        <w:rPr>
          <w:szCs w:val="18"/>
        </w:rPr>
        <w:t>, successivamente,</w:t>
      </w:r>
      <w:r w:rsidRPr="00323219">
        <w:rPr>
          <w:szCs w:val="18"/>
        </w:rPr>
        <w:t xml:space="preserve"> </w:t>
      </w:r>
      <w:r w:rsidR="004124DD">
        <w:rPr>
          <w:szCs w:val="18"/>
        </w:rPr>
        <w:t>le relazioni sindacali</w:t>
      </w:r>
      <w:r w:rsidRPr="00323219">
        <w:rPr>
          <w:szCs w:val="18"/>
        </w:rPr>
        <w:t xml:space="preserve">. Le lezioni saranno dedicate </w:t>
      </w:r>
      <w:r w:rsidR="002C5AA7" w:rsidRPr="00323219">
        <w:rPr>
          <w:szCs w:val="18"/>
        </w:rPr>
        <w:t xml:space="preserve">approssimativamente </w:t>
      </w:r>
      <w:r w:rsidRPr="00323219">
        <w:rPr>
          <w:szCs w:val="18"/>
        </w:rPr>
        <w:t>per 2/3 a</w:t>
      </w:r>
      <w:r w:rsidR="004124DD">
        <w:rPr>
          <w:szCs w:val="18"/>
        </w:rPr>
        <w:t xml:space="preserve">lla spiegazione della disciplina dei rapporti di lavoro </w:t>
      </w:r>
      <w:r w:rsidRPr="00323219">
        <w:rPr>
          <w:szCs w:val="18"/>
        </w:rPr>
        <w:t>e per 1/3 a</w:t>
      </w:r>
      <w:r w:rsidR="004124DD">
        <w:rPr>
          <w:szCs w:val="18"/>
        </w:rPr>
        <w:t xml:space="preserve"> quella delle relazioni sindacali</w:t>
      </w:r>
      <w:r w:rsidRPr="00323219">
        <w:rPr>
          <w:szCs w:val="18"/>
        </w:rPr>
        <w:t xml:space="preserve">, secondo il </w:t>
      </w:r>
      <w:proofErr w:type="spellStart"/>
      <w:r w:rsidRPr="00323219">
        <w:rPr>
          <w:i/>
          <w:szCs w:val="18"/>
        </w:rPr>
        <w:t>syllabus</w:t>
      </w:r>
      <w:proofErr w:type="spellEnd"/>
      <w:r w:rsidRPr="00323219">
        <w:rPr>
          <w:szCs w:val="18"/>
        </w:rPr>
        <w:t xml:space="preserve"> seguente:</w:t>
      </w:r>
    </w:p>
    <w:p w14:paraId="5FC9D435" w14:textId="77777777" w:rsidR="005A0246" w:rsidRPr="00323219" w:rsidRDefault="005A0246" w:rsidP="005A0246">
      <w:pPr>
        <w:rPr>
          <w:szCs w:val="18"/>
        </w:rPr>
      </w:pPr>
      <w:r w:rsidRPr="00323219">
        <w:rPr>
          <w:szCs w:val="18"/>
        </w:rPr>
        <w:tab/>
      </w:r>
      <w:r w:rsidR="004124DD">
        <w:rPr>
          <w:i/>
          <w:szCs w:val="18"/>
        </w:rPr>
        <w:t>Rapporti</w:t>
      </w:r>
      <w:r w:rsidRPr="00323219">
        <w:rPr>
          <w:i/>
          <w:szCs w:val="18"/>
        </w:rPr>
        <w:t xml:space="preserve"> di lavoro</w:t>
      </w:r>
    </w:p>
    <w:p w14:paraId="5CDEEF29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 rapporti di lavoro nel codice civile e nella Costituzione.</w:t>
      </w:r>
    </w:p>
    <w:p w14:paraId="6F89E609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L’organizzazione giuridica del mercato del lavoro.</w:t>
      </w:r>
    </w:p>
    <w:p w14:paraId="184AE7ED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Il lavoro subordinato (</w:t>
      </w:r>
      <w:r w:rsidRPr="00323219">
        <w:rPr>
          <w:i/>
          <w:szCs w:val="18"/>
        </w:rPr>
        <w:t>part time</w:t>
      </w:r>
      <w:r w:rsidRPr="00323219">
        <w:rPr>
          <w:szCs w:val="18"/>
        </w:rPr>
        <w:t>, termine, somministrazione, apprendistato)</w:t>
      </w:r>
      <w:r w:rsidR="00071B8B">
        <w:rPr>
          <w:szCs w:val="18"/>
        </w:rPr>
        <w:t xml:space="preserve"> </w:t>
      </w:r>
      <w:r w:rsidRPr="00323219">
        <w:rPr>
          <w:szCs w:val="18"/>
        </w:rPr>
        <w:t>e autonomo (anche “organizzato”).</w:t>
      </w:r>
    </w:p>
    <w:p w14:paraId="0CB01DEE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tutela della professionalità: mansioni, qualifiche e categorie, il c</w:t>
      </w:r>
      <w:r w:rsidR="007B0040" w:rsidRPr="00323219">
        <w:rPr>
          <w:szCs w:val="18"/>
        </w:rPr>
        <w:t>.</w:t>
      </w:r>
      <w:r w:rsidRPr="00323219">
        <w:rPr>
          <w:szCs w:val="18"/>
        </w:rPr>
        <w:t xml:space="preserve">d. </w:t>
      </w:r>
      <w:r w:rsidRPr="00323219">
        <w:rPr>
          <w:i/>
          <w:szCs w:val="18"/>
        </w:rPr>
        <w:t>jus variandi</w:t>
      </w:r>
      <w:r w:rsidRPr="00323219">
        <w:rPr>
          <w:szCs w:val="18"/>
        </w:rPr>
        <w:t>.</w:t>
      </w:r>
    </w:p>
    <w:p w14:paraId="5B78FB17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Luoghi e tempi della prestazione lavorativa (inclusi orario e riposi).</w:t>
      </w:r>
    </w:p>
    <w:p w14:paraId="4B459412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disciplina della prestazione di lavoro: i poteri di direzione, controllo e disciplinare.</w:t>
      </w:r>
    </w:p>
    <w:p w14:paraId="474E53E6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tutela della salute e sicurezza nei luoghi di lavoro.</w:t>
      </w:r>
    </w:p>
    <w:p w14:paraId="22F584D5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retribuzione e il trattamento di fine rapporto (TFR).</w:t>
      </w:r>
    </w:p>
    <w:p w14:paraId="3FF5B6E5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Le sospensioni del rapporto di lavoro (congedi e cassa integrazione guadagni, altri ammortizzatori sociali).</w:t>
      </w:r>
    </w:p>
    <w:p w14:paraId="50764F06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 xml:space="preserve">La tutela </w:t>
      </w:r>
      <w:r w:rsidR="004124DD">
        <w:rPr>
          <w:szCs w:val="18"/>
        </w:rPr>
        <w:t>contro</w:t>
      </w:r>
      <w:r w:rsidRPr="00323219">
        <w:rPr>
          <w:szCs w:val="18"/>
        </w:rPr>
        <w:t xml:space="preserve"> i licenziamenti illegittimi e le altre garanzie alla fine del rapporto di lavoro.</w:t>
      </w:r>
    </w:p>
    <w:p w14:paraId="65C27F3B" w14:textId="77777777" w:rsidR="005A0246" w:rsidRPr="00323219" w:rsidRDefault="005A0246" w:rsidP="005A0246">
      <w:pPr>
        <w:rPr>
          <w:i/>
          <w:szCs w:val="18"/>
        </w:rPr>
      </w:pPr>
      <w:r w:rsidRPr="00323219">
        <w:rPr>
          <w:szCs w:val="18"/>
        </w:rPr>
        <w:tab/>
      </w:r>
      <w:r w:rsidR="004124DD">
        <w:rPr>
          <w:i/>
          <w:szCs w:val="18"/>
        </w:rPr>
        <w:t>Relazioni</w:t>
      </w:r>
      <w:r w:rsidRPr="00323219">
        <w:rPr>
          <w:i/>
          <w:szCs w:val="18"/>
        </w:rPr>
        <w:t xml:space="preserve"> sindacali</w:t>
      </w:r>
    </w:p>
    <w:p w14:paraId="7197E368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libertà sindacale nella Costituzione e nello Statuto dei lavoratori.</w:t>
      </w:r>
    </w:p>
    <w:p w14:paraId="6AFBF8FA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contrattazione collettiva.</w:t>
      </w:r>
    </w:p>
    <w:p w14:paraId="5F8B73BF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Le rappresentanze sindacali in azienda e i diritti sindacali.</w:t>
      </w:r>
    </w:p>
    <w:p w14:paraId="03E45A01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Il diritto di sciopero e la libertà economica di serrata.</w:t>
      </w:r>
    </w:p>
    <w:p w14:paraId="6A5D9640" w14:textId="77777777"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 limiti all’esercizio del diritto di sciopero nei servizi pubblici essenziali.</w:t>
      </w:r>
    </w:p>
    <w:p w14:paraId="235A16CE" w14:textId="6A0ABE78" w:rsidR="00DA5135" w:rsidRPr="00323219" w:rsidRDefault="00DA5135" w:rsidP="00DA5135">
      <w:pPr>
        <w:keepNext/>
        <w:spacing w:before="240" w:after="120"/>
        <w:rPr>
          <w:rFonts w:ascii="Times" w:hAnsi="Times" w:cs="Times"/>
          <w:b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t>BIBLIOGRAFIA</w:t>
      </w:r>
      <w:r w:rsidR="008C6357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5229927C" w14:textId="77777777" w:rsidR="004124DD" w:rsidRPr="00A127BE" w:rsidRDefault="004124DD" w:rsidP="00A127BE">
      <w:pPr>
        <w:pStyle w:val="Testo1"/>
      </w:pPr>
      <w:r w:rsidRPr="004B0D88">
        <w:t xml:space="preserve">Lo studente può preparare l’esame scegliendo in alternativa </w:t>
      </w:r>
      <w:r>
        <w:t xml:space="preserve">uno </w:t>
      </w:r>
      <w:r w:rsidRPr="004B0D88">
        <w:t xml:space="preserve">tra </w:t>
      </w:r>
      <w:r>
        <w:t xml:space="preserve">i due </w:t>
      </w:r>
      <w:r w:rsidRPr="004B0D88">
        <w:t>seguenti</w:t>
      </w:r>
      <w:r>
        <w:t xml:space="preserve"> manuali</w:t>
      </w:r>
      <w:r w:rsidRPr="004B0D88">
        <w:t>:</w:t>
      </w:r>
    </w:p>
    <w:p w14:paraId="1FE57AFC" w14:textId="012D3CA5" w:rsidR="004124DD" w:rsidRDefault="004124DD" w:rsidP="004124DD">
      <w:pPr>
        <w:pStyle w:val="Testo1"/>
        <w:numPr>
          <w:ilvl w:val="0"/>
          <w:numId w:val="5"/>
        </w:numPr>
        <w:spacing w:line="240" w:lineRule="exact"/>
        <w:rPr>
          <w:rFonts w:cs="Times"/>
          <w:spacing w:val="-5"/>
          <w:szCs w:val="18"/>
        </w:rPr>
      </w:pPr>
      <w:r>
        <w:rPr>
          <w:rFonts w:cs="Times"/>
          <w:smallCaps/>
          <w:spacing w:val="-5"/>
          <w:szCs w:val="18"/>
        </w:rPr>
        <w:t xml:space="preserve">A. Occhino, G. Zilio Grandi, </w:t>
      </w:r>
      <w:r>
        <w:rPr>
          <w:rFonts w:cs="Times"/>
          <w:i/>
          <w:spacing w:val="-5"/>
          <w:szCs w:val="18"/>
        </w:rPr>
        <w:t>D</w:t>
      </w:r>
      <w:r w:rsidRPr="00323219">
        <w:rPr>
          <w:rFonts w:cs="Times"/>
          <w:i/>
          <w:spacing w:val="-5"/>
          <w:szCs w:val="18"/>
        </w:rPr>
        <w:t>iritto d</w:t>
      </w:r>
      <w:r>
        <w:rPr>
          <w:rFonts w:cs="Times"/>
          <w:i/>
          <w:spacing w:val="-5"/>
          <w:szCs w:val="18"/>
        </w:rPr>
        <w:t>el lavoro</w:t>
      </w:r>
      <w:r>
        <w:rPr>
          <w:rFonts w:cs="Times"/>
          <w:spacing w:val="-5"/>
          <w:szCs w:val="18"/>
        </w:rPr>
        <w:t>, Giappichelli, ultima edizione disponibile.</w:t>
      </w:r>
      <w:r w:rsidR="008C6357">
        <w:rPr>
          <w:rFonts w:cs="Times"/>
          <w:spacing w:val="-5"/>
          <w:szCs w:val="18"/>
        </w:rPr>
        <w:t xml:space="preserve"> </w:t>
      </w:r>
      <w:hyperlink r:id="rId8" w:history="1">
        <w:r w:rsidR="008C6357" w:rsidRPr="008C635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1ABEA84" w14:textId="6054864B" w:rsidR="00DA5135" w:rsidRPr="004124DD" w:rsidRDefault="004124DD" w:rsidP="004124DD">
      <w:pPr>
        <w:pStyle w:val="Testo1"/>
        <w:numPr>
          <w:ilvl w:val="0"/>
          <w:numId w:val="5"/>
        </w:numPr>
        <w:spacing w:line="240" w:lineRule="exact"/>
        <w:rPr>
          <w:rFonts w:cs="Times"/>
          <w:spacing w:val="-5"/>
          <w:szCs w:val="18"/>
        </w:rPr>
      </w:pPr>
      <w:r w:rsidRPr="00323219">
        <w:rPr>
          <w:rFonts w:cs="Times"/>
          <w:smallCaps/>
          <w:spacing w:val="-5"/>
          <w:szCs w:val="18"/>
        </w:rPr>
        <w:t>A. Tursi</w:t>
      </w:r>
      <w:r>
        <w:rPr>
          <w:rFonts w:cs="Times"/>
          <w:smallCaps/>
          <w:spacing w:val="-5"/>
          <w:szCs w:val="18"/>
        </w:rPr>
        <w:t xml:space="preserve">, </w:t>
      </w:r>
      <w:r w:rsidRPr="00323219">
        <w:rPr>
          <w:rFonts w:cs="Times"/>
          <w:smallCaps/>
          <w:spacing w:val="-5"/>
          <w:szCs w:val="18"/>
        </w:rPr>
        <w:t>P.A. Varesi,</w:t>
      </w:r>
      <w:r w:rsidRPr="00323219">
        <w:rPr>
          <w:rFonts w:cs="Times"/>
          <w:i/>
          <w:spacing w:val="-5"/>
          <w:szCs w:val="18"/>
        </w:rPr>
        <w:t xml:space="preserve"> Istituzioni di diritto del lavoro (Rapporti di lavoro e relazioni sindacali nel settore privato),</w:t>
      </w:r>
      <w:r w:rsidRPr="00323219">
        <w:rPr>
          <w:rFonts w:cs="Times"/>
          <w:spacing w:val="-5"/>
          <w:szCs w:val="18"/>
        </w:rPr>
        <w:t xml:space="preserve"> Cedam</w:t>
      </w:r>
      <w:r w:rsidR="0026224B">
        <w:rPr>
          <w:rFonts w:cs="Times"/>
          <w:spacing w:val="-5"/>
          <w:szCs w:val="18"/>
        </w:rPr>
        <w:t xml:space="preserve">-Wolters Kluwer, </w:t>
      </w:r>
      <w:r w:rsidRPr="00323219">
        <w:rPr>
          <w:rFonts w:cs="Times"/>
          <w:spacing w:val="-5"/>
          <w:szCs w:val="18"/>
        </w:rPr>
        <w:t>ultima edizione disponibile</w:t>
      </w:r>
      <w:r>
        <w:rPr>
          <w:rFonts w:cs="Times"/>
          <w:spacing w:val="-5"/>
          <w:szCs w:val="18"/>
        </w:rPr>
        <w:t>.</w:t>
      </w:r>
      <w:r w:rsidR="00677CB6" w:rsidRPr="004124DD">
        <w:rPr>
          <w:rFonts w:cs="Times"/>
          <w:spacing w:val="-5"/>
          <w:szCs w:val="18"/>
        </w:rPr>
        <w:t xml:space="preserve"> </w:t>
      </w:r>
      <w:r w:rsidR="008C6357">
        <w:rPr>
          <w:rFonts w:cs="Times"/>
          <w:spacing w:val="-5"/>
          <w:szCs w:val="18"/>
        </w:rPr>
        <w:t xml:space="preserve"> </w:t>
      </w:r>
      <w:hyperlink r:id="rId9" w:history="1">
        <w:r w:rsidR="008C6357" w:rsidRPr="008C635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B50A30A" w14:textId="77777777" w:rsidR="00DA5135" w:rsidRPr="00323219" w:rsidRDefault="00DA5135" w:rsidP="00DA5135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lastRenderedPageBreak/>
        <w:t>DIDATTICA DEL CORSO</w:t>
      </w:r>
    </w:p>
    <w:p w14:paraId="5F8BB5B6" w14:textId="77777777" w:rsidR="00DA5135" w:rsidRPr="00323219" w:rsidRDefault="00DA5135" w:rsidP="00DA5135">
      <w:pPr>
        <w:pStyle w:val="Testo2"/>
        <w:rPr>
          <w:rFonts w:cs="Times"/>
          <w:szCs w:val="18"/>
        </w:rPr>
      </w:pPr>
      <w:r w:rsidRPr="00323219">
        <w:rPr>
          <w:rFonts w:cs="Times"/>
          <w:szCs w:val="18"/>
        </w:rPr>
        <w:t>Lezioni</w:t>
      </w:r>
      <w:r w:rsidR="008B0C85" w:rsidRPr="00323219">
        <w:rPr>
          <w:rFonts w:cs="Times"/>
          <w:szCs w:val="18"/>
        </w:rPr>
        <w:t xml:space="preserve"> frontali</w:t>
      </w:r>
      <w:r w:rsidR="0026224B">
        <w:rPr>
          <w:rFonts w:cs="Times"/>
          <w:szCs w:val="18"/>
        </w:rPr>
        <w:t xml:space="preserve"> in aula, con eventuali esercitazioni e interventi di esperti.</w:t>
      </w:r>
    </w:p>
    <w:p w14:paraId="0DC6E35B" w14:textId="77777777" w:rsidR="00646B72" w:rsidRPr="00323219" w:rsidRDefault="00646B72" w:rsidP="00646B72">
      <w:pPr>
        <w:spacing w:before="240" w:after="120" w:line="220" w:lineRule="exact"/>
        <w:rPr>
          <w:rFonts w:eastAsia="Times New Roman"/>
          <w:b/>
          <w:i/>
          <w:sz w:val="18"/>
          <w:szCs w:val="18"/>
        </w:rPr>
      </w:pPr>
      <w:r w:rsidRPr="00323219">
        <w:rPr>
          <w:b/>
          <w:i/>
          <w:sz w:val="18"/>
          <w:szCs w:val="18"/>
        </w:rPr>
        <w:t>METODO E CRITERI DI VALUTAZIONE</w:t>
      </w:r>
    </w:p>
    <w:p w14:paraId="220CE48A" w14:textId="77777777" w:rsidR="006C58B4" w:rsidRDefault="00646B72" w:rsidP="002E289B">
      <w:pPr>
        <w:pStyle w:val="Testo2"/>
        <w:rPr>
          <w:szCs w:val="18"/>
        </w:rPr>
      </w:pPr>
      <w:r w:rsidRPr="00323219">
        <w:rPr>
          <w:szCs w:val="18"/>
        </w:rPr>
        <w:t>L’esame finale mira a valutare la preparazione dello studente in relazione agli obiettivi didattici</w:t>
      </w:r>
      <w:r w:rsidR="0026224B">
        <w:rPr>
          <w:szCs w:val="18"/>
        </w:rPr>
        <w:t xml:space="preserve">. </w:t>
      </w:r>
      <w:r w:rsidR="0026224B" w:rsidRPr="00323219">
        <w:rPr>
          <w:szCs w:val="18"/>
        </w:rPr>
        <w:t>La verifica dell’apprendimento è fondata su un esame finale</w:t>
      </w:r>
      <w:r w:rsidR="0026224B">
        <w:rPr>
          <w:szCs w:val="18"/>
        </w:rPr>
        <w:t xml:space="preserve"> che prevede una prova scritta di pre-selezione, con domande prevalentemente a risposta multipla, e una successiva interrogazione orale a cui potranno accedere </w:t>
      </w:r>
      <w:r w:rsidR="001E1DCB">
        <w:rPr>
          <w:szCs w:val="18"/>
        </w:rPr>
        <w:t xml:space="preserve">solo </w:t>
      </w:r>
      <w:r w:rsidR="0026224B">
        <w:rPr>
          <w:szCs w:val="18"/>
        </w:rPr>
        <w:t>coloro che avranno superato la prova scritta.</w:t>
      </w:r>
      <w:r w:rsidR="00972058">
        <w:rPr>
          <w:szCs w:val="18"/>
        </w:rPr>
        <w:t xml:space="preserve"> Pertanto, il</w:t>
      </w:r>
      <w:r w:rsidR="00972058" w:rsidRPr="0026224B">
        <w:rPr>
          <w:szCs w:val="18"/>
        </w:rPr>
        <w:t xml:space="preserve"> mancato superamento della prova </w:t>
      </w:r>
      <w:r w:rsidR="00972058">
        <w:rPr>
          <w:szCs w:val="18"/>
        </w:rPr>
        <w:t>scritta</w:t>
      </w:r>
      <w:r w:rsidR="00972058" w:rsidRPr="0026224B">
        <w:rPr>
          <w:szCs w:val="18"/>
        </w:rPr>
        <w:t xml:space="preserve"> impedisce l’accesso al</w:t>
      </w:r>
      <w:r w:rsidR="00972058">
        <w:rPr>
          <w:szCs w:val="18"/>
        </w:rPr>
        <w:t xml:space="preserve">la successiva interrogazione orale. Di regola, la correzione della prova scritta avviene poco dopo la consegna degli elaborati, in modo tale che </w:t>
      </w:r>
      <w:r w:rsidR="00B4797C">
        <w:rPr>
          <w:szCs w:val="18"/>
        </w:rPr>
        <w:t>le interrogazioni</w:t>
      </w:r>
      <w:r w:rsidR="00972058">
        <w:rPr>
          <w:szCs w:val="18"/>
        </w:rPr>
        <w:t xml:space="preserve"> orali possano avere inizio nello stesso giorno.</w:t>
      </w:r>
      <w:r w:rsidR="006C58B4">
        <w:rPr>
          <w:szCs w:val="18"/>
        </w:rPr>
        <w:t xml:space="preserve"> </w:t>
      </w:r>
      <w:r w:rsidR="0026224B">
        <w:rPr>
          <w:szCs w:val="18"/>
        </w:rPr>
        <w:t xml:space="preserve">Sia la prova scritta sia l’interrogazione orale </w:t>
      </w:r>
      <w:r w:rsidR="001E1DCB">
        <w:rPr>
          <w:szCs w:val="18"/>
        </w:rPr>
        <w:t>potranno vertere su tutti i punti del programma.</w:t>
      </w:r>
      <w:r w:rsidR="00972058">
        <w:rPr>
          <w:szCs w:val="18"/>
        </w:rPr>
        <w:t xml:space="preserve"> La </w:t>
      </w:r>
      <w:r w:rsidR="00972058" w:rsidRPr="0026224B">
        <w:rPr>
          <w:szCs w:val="18"/>
        </w:rPr>
        <w:t xml:space="preserve">votazione finale </w:t>
      </w:r>
      <w:r w:rsidR="00972058">
        <w:rPr>
          <w:szCs w:val="18"/>
        </w:rPr>
        <w:t xml:space="preserve">tiene conto dell’esito di entrambe le prove, </w:t>
      </w:r>
      <w:r w:rsidR="00A776F6">
        <w:rPr>
          <w:szCs w:val="18"/>
        </w:rPr>
        <w:t>in eguale misura</w:t>
      </w:r>
      <w:r w:rsidR="00972058">
        <w:rPr>
          <w:szCs w:val="18"/>
        </w:rPr>
        <w:t>.</w:t>
      </w:r>
    </w:p>
    <w:p w14:paraId="63A84ABD" w14:textId="77777777" w:rsidR="006C58B4" w:rsidRDefault="006C58B4" w:rsidP="006C58B4">
      <w:pPr>
        <w:pStyle w:val="Testo2"/>
        <w:ind w:firstLine="0"/>
        <w:rPr>
          <w:szCs w:val="18"/>
        </w:rPr>
      </w:pPr>
      <w:r>
        <w:rPr>
          <w:szCs w:val="18"/>
        </w:rPr>
        <w:t>I criteri per l’attribuzione del voto sono i seguenti.</w:t>
      </w:r>
    </w:p>
    <w:p w14:paraId="4A480EE0" w14:textId="77777777" w:rsidR="0026224B" w:rsidRDefault="006C58B4" w:rsidP="00AD0711">
      <w:pPr>
        <w:pStyle w:val="Testo2"/>
        <w:rPr>
          <w:szCs w:val="18"/>
        </w:rPr>
      </w:pPr>
      <w:r>
        <w:rPr>
          <w:szCs w:val="18"/>
        </w:rPr>
        <w:t xml:space="preserve">Il superamento dell’esame presuppone la conoscenza delle informazioni, distinzioni e concetti chiave della materia, che dev’essere dimostrata anzitutto nello svolgimento della prova scritta. </w:t>
      </w:r>
      <w:r w:rsidR="00AD0711">
        <w:rPr>
          <w:szCs w:val="18"/>
        </w:rPr>
        <w:t>La</w:t>
      </w:r>
      <w:r>
        <w:rPr>
          <w:szCs w:val="18"/>
        </w:rPr>
        <w:t xml:space="preserve"> </w:t>
      </w:r>
      <w:r w:rsidRPr="00323219">
        <w:rPr>
          <w:szCs w:val="18"/>
        </w:rPr>
        <w:t xml:space="preserve">consapevolezza </w:t>
      </w:r>
      <w:r>
        <w:rPr>
          <w:szCs w:val="18"/>
        </w:rPr>
        <w:t>approfondita</w:t>
      </w:r>
      <w:r w:rsidRPr="00323219">
        <w:rPr>
          <w:szCs w:val="18"/>
        </w:rPr>
        <w:t xml:space="preserve"> dei temi</w:t>
      </w:r>
      <w:r>
        <w:rPr>
          <w:szCs w:val="18"/>
        </w:rPr>
        <w:t xml:space="preserve"> trattati</w:t>
      </w:r>
      <w:r w:rsidRPr="00323219">
        <w:rPr>
          <w:szCs w:val="18"/>
        </w:rPr>
        <w:t xml:space="preserve">, la capacità di applicare criticamente le conoscenze e </w:t>
      </w:r>
      <w:r w:rsidR="00AD0711">
        <w:rPr>
          <w:szCs w:val="18"/>
        </w:rPr>
        <w:t>l’uso appropriato del linguaggio giuridico</w:t>
      </w:r>
      <w:r w:rsidRPr="00323219">
        <w:rPr>
          <w:szCs w:val="18"/>
        </w:rPr>
        <w:t xml:space="preserve"> </w:t>
      </w:r>
      <w:r w:rsidR="00AD0711">
        <w:rPr>
          <w:szCs w:val="18"/>
        </w:rPr>
        <w:t xml:space="preserve">e della tecnica argomentativa </w:t>
      </w:r>
      <w:r w:rsidRPr="00323219">
        <w:rPr>
          <w:szCs w:val="18"/>
        </w:rPr>
        <w:t>condurranno a voti di eccellenza</w:t>
      </w:r>
      <w:r w:rsidR="00AD0711">
        <w:rPr>
          <w:szCs w:val="18"/>
        </w:rPr>
        <w:t xml:space="preserve">. </w:t>
      </w:r>
      <w:r w:rsidR="00AD0711" w:rsidRPr="00323219">
        <w:rPr>
          <w:szCs w:val="18"/>
        </w:rPr>
        <w:t xml:space="preserve">Una capacità di analisi e </w:t>
      </w:r>
      <w:r w:rsidR="00AD0711">
        <w:rPr>
          <w:szCs w:val="18"/>
        </w:rPr>
        <w:t xml:space="preserve">di </w:t>
      </w:r>
      <w:r w:rsidR="00AD0711" w:rsidRPr="00323219">
        <w:rPr>
          <w:szCs w:val="18"/>
        </w:rPr>
        <w:t xml:space="preserve">sintesi non del tutto articolate e/o l’utilizzo di un linguaggio non del tutto appropriato porteranno a valutazioni discrete/buone, con differenziazione del voto a seconda del livello di preparazione </w:t>
      </w:r>
      <w:r w:rsidR="00AD0711">
        <w:rPr>
          <w:szCs w:val="18"/>
        </w:rPr>
        <w:t xml:space="preserve">complessivamente </w:t>
      </w:r>
      <w:r w:rsidR="00AD0711" w:rsidRPr="00323219">
        <w:rPr>
          <w:szCs w:val="18"/>
        </w:rPr>
        <w:t>dimostrato nell’esame</w:t>
      </w:r>
      <w:r w:rsidR="00AD0711">
        <w:rPr>
          <w:szCs w:val="18"/>
        </w:rPr>
        <w:t xml:space="preserve">. </w:t>
      </w:r>
      <w:r w:rsidR="00AD0711" w:rsidRPr="00323219">
        <w:rPr>
          <w:szCs w:val="18"/>
        </w:rPr>
        <w:t>La presenza di lacune formative o l’utilizzo di un linguaggio inappropriato, anche se non del tutto scorretto, nell’ambito di conoscenze basilar</w:t>
      </w:r>
      <w:r w:rsidR="00AD0711">
        <w:rPr>
          <w:szCs w:val="18"/>
        </w:rPr>
        <w:t>i</w:t>
      </w:r>
      <w:r w:rsidR="00AD0711" w:rsidRPr="00323219">
        <w:rPr>
          <w:szCs w:val="18"/>
        </w:rPr>
        <w:t xml:space="preserve"> del programma condurranno a una valutazione di </w:t>
      </w:r>
      <w:r w:rsidR="00AD0711">
        <w:rPr>
          <w:szCs w:val="18"/>
        </w:rPr>
        <w:t xml:space="preserve">mera </w:t>
      </w:r>
      <w:r w:rsidR="00AD0711" w:rsidRPr="00323219">
        <w:rPr>
          <w:szCs w:val="18"/>
        </w:rPr>
        <w:t>sufficienza.</w:t>
      </w:r>
      <w:r w:rsidR="00AD0711">
        <w:rPr>
          <w:szCs w:val="18"/>
        </w:rPr>
        <w:t xml:space="preserve"> </w:t>
      </w:r>
      <w:r w:rsidR="00AD0711" w:rsidRPr="00323219">
        <w:rPr>
          <w:szCs w:val="18"/>
        </w:rPr>
        <w:t>L’emersione di lacune formative gravi</w:t>
      </w:r>
      <w:r w:rsidR="00AD0711">
        <w:rPr>
          <w:szCs w:val="18"/>
        </w:rPr>
        <w:t>,</w:t>
      </w:r>
      <w:r w:rsidR="00AD0711" w:rsidRPr="00323219">
        <w:rPr>
          <w:szCs w:val="18"/>
        </w:rPr>
        <w:t xml:space="preserve"> </w:t>
      </w:r>
      <w:r w:rsidR="00AD0711">
        <w:rPr>
          <w:szCs w:val="18"/>
        </w:rPr>
        <w:t>l’</w:t>
      </w:r>
      <w:r w:rsidR="00AD0711" w:rsidRPr="00323219">
        <w:rPr>
          <w:szCs w:val="18"/>
        </w:rPr>
        <w:t xml:space="preserve">avere trascurato una parte del programma, l’utilizzo di un linguaggio scorretto o la mancanza di </w:t>
      </w:r>
      <w:r w:rsidR="00AD0711">
        <w:rPr>
          <w:szCs w:val="18"/>
        </w:rPr>
        <w:t xml:space="preserve">capacità di </w:t>
      </w:r>
      <w:r w:rsidR="00AD0711" w:rsidRPr="00323219">
        <w:rPr>
          <w:szCs w:val="18"/>
        </w:rPr>
        <w:t>orientamento all’interno della bibliografia indicata saranno valutati negativamente</w:t>
      </w:r>
      <w:r w:rsidR="00AD0711">
        <w:rPr>
          <w:szCs w:val="18"/>
        </w:rPr>
        <w:t>.</w:t>
      </w:r>
    </w:p>
    <w:p w14:paraId="496F7586" w14:textId="77777777" w:rsidR="00DA5135" w:rsidRPr="00323219" w:rsidRDefault="00DA5135" w:rsidP="00DA5135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t>AVVERTENZE</w:t>
      </w:r>
      <w:r w:rsidR="004B2137" w:rsidRPr="00323219">
        <w:rPr>
          <w:rFonts w:ascii="Times" w:hAnsi="Times" w:cs="Times"/>
          <w:b/>
          <w:i/>
          <w:sz w:val="18"/>
          <w:szCs w:val="18"/>
        </w:rPr>
        <w:t xml:space="preserve"> E PREREQUISITI</w:t>
      </w:r>
    </w:p>
    <w:p w14:paraId="53FC80D4" w14:textId="77777777" w:rsidR="008730BA" w:rsidRPr="00AD0711" w:rsidRDefault="00AD0711" w:rsidP="00AD0711">
      <w:pPr>
        <w:pStyle w:val="Testo2"/>
      </w:pPr>
      <w:r w:rsidRPr="009F47C6">
        <w:t>Per tale insegnamento non sono previsti prerequisiti specifici.</w:t>
      </w:r>
      <w:r w:rsidR="00DA5135" w:rsidRPr="00323219">
        <w:rPr>
          <w:rFonts w:cs="Times"/>
          <w:szCs w:val="18"/>
        </w:rPr>
        <w:t xml:space="preserve"> </w:t>
      </w:r>
    </w:p>
    <w:p w14:paraId="18E7151E" w14:textId="77777777" w:rsidR="008730BA" w:rsidRPr="00323219" w:rsidRDefault="008730BA" w:rsidP="008730BA">
      <w:pPr>
        <w:pStyle w:val="Testo2"/>
        <w:spacing w:before="120"/>
        <w:rPr>
          <w:i/>
          <w:szCs w:val="18"/>
        </w:rPr>
      </w:pPr>
      <w:r w:rsidRPr="00323219">
        <w:rPr>
          <w:i/>
          <w:szCs w:val="18"/>
        </w:rPr>
        <w:t>Orario e luogo di ricevimento</w:t>
      </w:r>
    </w:p>
    <w:p w14:paraId="7421DA0A" w14:textId="77777777" w:rsidR="00AD0711" w:rsidRDefault="00AD0711" w:rsidP="00407B2C">
      <w:pPr>
        <w:pStyle w:val="Testo2"/>
        <w:rPr>
          <w:szCs w:val="18"/>
        </w:rPr>
      </w:pPr>
      <w:r>
        <w:rPr>
          <w:szCs w:val="18"/>
        </w:rPr>
        <w:t>Il docente riceve</w:t>
      </w:r>
      <w:r w:rsidR="00A127BE">
        <w:rPr>
          <w:szCs w:val="18"/>
        </w:rPr>
        <w:t xml:space="preserve"> gli studenti presso il Dipartimento di scienze giuridiche</w:t>
      </w:r>
      <w:r w:rsidR="00C94B57">
        <w:rPr>
          <w:szCs w:val="18"/>
        </w:rPr>
        <w:t xml:space="preserve"> oppure tramite video-collegamento</w:t>
      </w:r>
      <w:r>
        <w:rPr>
          <w:szCs w:val="18"/>
        </w:rPr>
        <w:t xml:space="preserve">, previo appuntamento da concordare </w:t>
      </w:r>
      <w:r w:rsidR="00A127BE">
        <w:rPr>
          <w:szCs w:val="18"/>
        </w:rPr>
        <w:t>tramite</w:t>
      </w:r>
      <w:r>
        <w:rPr>
          <w:szCs w:val="18"/>
        </w:rPr>
        <w:t xml:space="preserve"> posta elettronica (</w:t>
      </w:r>
      <w:hyperlink r:id="rId10" w:history="1">
        <w:r w:rsidRPr="004E4F2A">
          <w:rPr>
            <w:rStyle w:val="Collegamentoipertestuale"/>
            <w:szCs w:val="18"/>
          </w:rPr>
          <w:t>nicolo.rossi@unicatt.it</w:t>
        </w:r>
      </w:hyperlink>
      <w:r>
        <w:rPr>
          <w:szCs w:val="18"/>
        </w:rPr>
        <w:t>)</w:t>
      </w:r>
      <w:r w:rsidR="00A127BE">
        <w:rPr>
          <w:szCs w:val="18"/>
        </w:rPr>
        <w:t>.</w:t>
      </w:r>
    </w:p>
    <w:p w14:paraId="51B6B009" w14:textId="77777777" w:rsidR="00AD0711" w:rsidRPr="00323219" w:rsidRDefault="00AD0711" w:rsidP="00A127BE">
      <w:pPr>
        <w:pStyle w:val="Testo2"/>
        <w:ind w:firstLine="0"/>
        <w:rPr>
          <w:szCs w:val="18"/>
        </w:rPr>
      </w:pPr>
    </w:p>
    <w:sectPr w:rsidR="00AD0711" w:rsidRPr="00323219" w:rsidSect="0032321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51BD" w14:textId="77777777" w:rsidR="008F0743" w:rsidRDefault="008F0743" w:rsidP="00677CB6">
      <w:pPr>
        <w:spacing w:line="240" w:lineRule="auto"/>
      </w:pPr>
      <w:r>
        <w:separator/>
      </w:r>
    </w:p>
  </w:endnote>
  <w:endnote w:type="continuationSeparator" w:id="0">
    <w:p w14:paraId="116D37D6" w14:textId="77777777" w:rsidR="008F0743" w:rsidRDefault="008F0743" w:rsidP="00677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3397" w14:textId="77777777" w:rsidR="008F0743" w:rsidRDefault="008F0743" w:rsidP="00677CB6">
      <w:pPr>
        <w:spacing w:line="240" w:lineRule="auto"/>
      </w:pPr>
      <w:r>
        <w:separator/>
      </w:r>
    </w:p>
  </w:footnote>
  <w:footnote w:type="continuationSeparator" w:id="0">
    <w:p w14:paraId="642EC9CD" w14:textId="77777777" w:rsidR="008F0743" w:rsidRDefault="008F0743" w:rsidP="00677CB6">
      <w:pPr>
        <w:spacing w:line="240" w:lineRule="auto"/>
      </w:pPr>
      <w:r>
        <w:continuationSeparator/>
      </w:r>
    </w:p>
  </w:footnote>
  <w:footnote w:id="1">
    <w:p w14:paraId="3939F2DF" w14:textId="7225080D" w:rsidR="008C6357" w:rsidRDefault="008C63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345"/>
    <w:multiLevelType w:val="hybridMultilevel"/>
    <w:tmpl w:val="5C7461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75286"/>
    <w:multiLevelType w:val="hybridMultilevel"/>
    <w:tmpl w:val="6868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45256"/>
    <w:multiLevelType w:val="hybridMultilevel"/>
    <w:tmpl w:val="E30E3306"/>
    <w:lvl w:ilvl="0" w:tplc="0A3AD25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3F87"/>
    <w:multiLevelType w:val="hybridMultilevel"/>
    <w:tmpl w:val="B28E9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8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811689">
    <w:abstractNumId w:val="0"/>
  </w:num>
  <w:num w:numId="3" w16cid:durableId="1646204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265296">
    <w:abstractNumId w:val="1"/>
  </w:num>
  <w:num w:numId="5" w16cid:durableId="645202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F6"/>
    <w:rsid w:val="000128E4"/>
    <w:rsid w:val="0002335C"/>
    <w:rsid w:val="00071B8B"/>
    <w:rsid w:val="000C7E5C"/>
    <w:rsid w:val="000D7156"/>
    <w:rsid w:val="000E4CDC"/>
    <w:rsid w:val="0016348F"/>
    <w:rsid w:val="00173127"/>
    <w:rsid w:val="001E1DCB"/>
    <w:rsid w:val="001F1873"/>
    <w:rsid w:val="0026224B"/>
    <w:rsid w:val="002C3F82"/>
    <w:rsid w:val="002C5AA7"/>
    <w:rsid w:val="002E289B"/>
    <w:rsid w:val="002F7E5F"/>
    <w:rsid w:val="00323219"/>
    <w:rsid w:val="00367DF6"/>
    <w:rsid w:val="00406E9A"/>
    <w:rsid w:val="00407B2C"/>
    <w:rsid w:val="004124DD"/>
    <w:rsid w:val="004B2137"/>
    <w:rsid w:val="004C6055"/>
    <w:rsid w:val="004F501A"/>
    <w:rsid w:val="0053211B"/>
    <w:rsid w:val="0058439A"/>
    <w:rsid w:val="00594786"/>
    <w:rsid w:val="005A0246"/>
    <w:rsid w:val="005A19FC"/>
    <w:rsid w:val="005A6BC8"/>
    <w:rsid w:val="005B3CBA"/>
    <w:rsid w:val="00646B72"/>
    <w:rsid w:val="00647031"/>
    <w:rsid w:val="00677CB6"/>
    <w:rsid w:val="00685D6E"/>
    <w:rsid w:val="006B4F7D"/>
    <w:rsid w:val="006C58B4"/>
    <w:rsid w:val="00701B3E"/>
    <w:rsid w:val="00705A91"/>
    <w:rsid w:val="007221FA"/>
    <w:rsid w:val="00764FB3"/>
    <w:rsid w:val="007801EE"/>
    <w:rsid w:val="007A3246"/>
    <w:rsid w:val="007B0040"/>
    <w:rsid w:val="00802F7B"/>
    <w:rsid w:val="00827A15"/>
    <w:rsid w:val="00845F0D"/>
    <w:rsid w:val="008730BA"/>
    <w:rsid w:val="008872C2"/>
    <w:rsid w:val="008B0C85"/>
    <w:rsid w:val="008C6357"/>
    <w:rsid w:val="008E3C36"/>
    <w:rsid w:val="008E4907"/>
    <w:rsid w:val="008F0743"/>
    <w:rsid w:val="008F249A"/>
    <w:rsid w:val="00907504"/>
    <w:rsid w:val="00942386"/>
    <w:rsid w:val="00972058"/>
    <w:rsid w:val="00983B0E"/>
    <w:rsid w:val="009A4C9A"/>
    <w:rsid w:val="009C1DCF"/>
    <w:rsid w:val="009E1975"/>
    <w:rsid w:val="009E4DC3"/>
    <w:rsid w:val="00A127BE"/>
    <w:rsid w:val="00A776F6"/>
    <w:rsid w:val="00AD0711"/>
    <w:rsid w:val="00AD10DF"/>
    <w:rsid w:val="00B2215C"/>
    <w:rsid w:val="00B4797C"/>
    <w:rsid w:val="00BC1149"/>
    <w:rsid w:val="00C94B57"/>
    <w:rsid w:val="00C96566"/>
    <w:rsid w:val="00C976A9"/>
    <w:rsid w:val="00CD6057"/>
    <w:rsid w:val="00D95D89"/>
    <w:rsid w:val="00DA185D"/>
    <w:rsid w:val="00DA5135"/>
    <w:rsid w:val="00DE137B"/>
    <w:rsid w:val="00DE4D25"/>
    <w:rsid w:val="00E22469"/>
    <w:rsid w:val="00E5545A"/>
    <w:rsid w:val="00E63203"/>
    <w:rsid w:val="00E926B6"/>
    <w:rsid w:val="00EB55D1"/>
    <w:rsid w:val="00EE2F63"/>
    <w:rsid w:val="00EE5607"/>
    <w:rsid w:val="00F064B5"/>
    <w:rsid w:val="00F66B14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05A8"/>
  <w15:docId w15:val="{E936C2D3-835C-D142-B9EB-49595B2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35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DA5135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DA5135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1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513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513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5135"/>
    <w:pPr>
      <w:ind w:left="720"/>
      <w:contextualSpacing/>
    </w:pPr>
  </w:style>
  <w:style w:type="paragraph" w:customStyle="1" w:styleId="Testo1">
    <w:name w:val="Testo 1"/>
    <w:rsid w:val="00DA5135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DA513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1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66B14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7C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7CB6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7CB6"/>
    <w:rPr>
      <w:vertAlign w:val="superscript"/>
    </w:rPr>
  </w:style>
  <w:style w:type="character" w:styleId="Collegamentoipertestuale">
    <w:name w:val="Hyperlink"/>
    <w:basedOn w:val="Carpredefinitoparagrafo"/>
    <w:unhideWhenUsed/>
    <w:rsid w:val="00677CB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0040"/>
    <w:rPr>
      <w:color w:val="954F72" w:themeColor="followedHyperlink"/>
      <w:u w:val="single"/>
    </w:rPr>
  </w:style>
  <w:style w:type="character" w:customStyle="1" w:styleId="Testo2Carattere">
    <w:name w:val="Testo 2 Carattere"/>
    <w:link w:val="Testo2"/>
    <w:rsid w:val="008730BA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nella-occhino-gaetano-zilio-grandi/diritto-del-lavoro-9788892144255-7178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olo.ross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rmando-tursi-pier-antonio-varesi/istituzioni-di-diritto-del-lavoro-rapporti-di-lavoro-e-relazioni-sindacali-nel-settore-privato-9788813369422-67640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F36B-1D0D-1841-9D03-AA3C071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Occhino Antonella</dc:creator>
  <cp:keywords/>
  <dc:description/>
  <cp:lastModifiedBy>Rolli Andrea</cp:lastModifiedBy>
  <cp:revision>3</cp:revision>
  <dcterms:created xsi:type="dcterms:W3CDTF">2023-06-14T06:49:00Z</dcterms:created>
  <dcterms:modified xsi:type="dcterms:W3CDTF">2023-07-04T07:51:00Z</dcterms:modified>
</cp:coreProperties>
</file>