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E005" w14:textId="77777777" w:rsidR="002105A8" w:rsidRDefault="002105A8" w:rsidP="002105A8">
      <w:pPr>
        <w:pStyle w:val="Titolo1"/>
      </w:pPr>
      <w:r>
        <w:t>Criminologia applicata</w:t>
      </w:r>
    </w:p>
    <w:p w14:paraId="464AF59C" w14:textId="691B8575" w:rsidR="002105A8" w:rsidRDefault="002105A8" w:rsidP="002105A8">
      <w:pPr>
        <w:pStyle w:val="Titolo2"/>
      </w:pPr>
      <w:r>
        <w:t>Prof.</w:t>
      </w:r>
      <w:r w:rsidR="007A6CE3">
        <w:t>ssa</w:t>
      </w:r>
      <w:r>
        <w:t xml:space="preserve"> Serena Favarin; </w:t>
      </w:r>
      <w:r w:rsidRPr="00517610">
        <w:rPr>
          <w:rFonts w:eastAsia="Cambria"/>
        </w:rPr>
        <w:t>Prof. Francesco Calderoni</w:t>
      </w:r>
    </w:p>
    <w:p w14:paraId="44BD3AB0" w14:textId="1D8DD8F6" w:rsidR="00CD3670" w:rsidRDefault="00CD3670" w:rsidP="00461906">
      <w:pPr>
        <w:spacing w:before="240" w:line="240" w:lineRule="auto"/>
        <w:outlineLvl w:val="0"/>
        <w:rPr>
          <w:rFonts w:eastAsia="Cambria"/>
          <w:szCs w:val="20"/>
        </w:rPr>
      </w:pPr>
      <w:r>
        <w:rPr>
          <w:rFonts w:eastAsia="Cambria"/>
          <w:smallCaps/>
          <w:sz w:val="18"/>
          <w:szCs w:val="24"/>
        </w:rPr>
        <w:t>I</w:t>
      </w:r>
      <w:r w:rsidRPr="006B0CE8">
        <w:rPr>
          <w:rFonts w:eastAsia="Cambria"/>
          <w:smallCaps/>
          <w:sz w:val="18"/>
          <w:szCs w:val="24"/>
        </w:rPr>
        <w:t xml:space="preserve"> Modulo</w:t>
      </w:r>
      <w:r w:rsidRPr="00AA701F">
        <w:rPr>
          <w:rFonts w:eastAsia="Cambria"/>
          <w:szCs w:val="20"/>
        </w:rPr>
        <w:t>:</w:t>
      </w:r>
      <w:r w:rsidRPr="00AA701F">
        <w:rPr>
          <w:rFonts w:eastAsia="Cambria"/>
          <w:i/>
          <w:szCs w:val="20"/>
        </w:rPr>
        <w:t xml:space="preserve"> </w:t>
      </w:r>
      <w:r w:rsidR="00B53A05">
        <w:rPr>
          <w:rFonts w:eastAsia="Cambria"/>
          <w:i/>
          <w:szCs w:val="20"/>
        </w:rPr>
        <w:t>Applicazione delle teorie criminologiche</w:t>
      </w:r>
      <w:r w:rsidRPr="00DD52D9">
        <w:t xml:space="preserve"> (Prof.</w:t>
      </w:r>
      <w:r w:rsidR="007A6CE3">
        <w:t>ssa</w:t>
      </w:r>
      <w:r w:rsidRPr="00DD52D9">
        <w:t xml:space="preserve"> Serena Favarin)</w:t>
      </w:r>
    </w:p>
    <w:p w14:paraId="2A8143B0" w14:textId="77777777" w:rsidR="00B8167C" w:rsidRDefault="00B8167C" w:rsidP="00B8167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FFDDC7E" w14:textId="2ACFFE8D" w:rsidR="0076120B" w:rsidRDefault="0076120B" w:rsidP="0076120B">
      <w:pPr>
        <w:spacing w:line="240" w:lineRule="exact"/>
      </w:pPr>
      <w:r>
        <w:t>Il corso si propone di fornire una panoramica introduttiva alla criminologia applicata. Al t</w:t>
      </w:r>
      <w:r w:rsidR="0082032E">
        <w:t>ermine del percorso formativo, le studentesse e gli studenti</w:t>
      </w:r>
      <w:r>
        <w:t xml:space="preserve"> saranno in grado di: a) acquisire conoscenze sui principali approcci criminologici moderni e contemporanei; b) comprendere come questi approcci sono stati testati empiricamente in letteratura; c) leggere, comprendere e commentare articoli scientifici in lingua inglese; d) partecipare attivamente alle discussioni in classe in lingua inglese, basandosi sull'analisi della letteratura.</w:t>
      </w:r>
    </w:p>
    <w:p w14:paraId="110F4AEE" w14:textId="77777777" w:rsidR="00CD3670" w:rsidRDefault="00CD3670" w:rsidP="00CD367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2BA5897" w14:textId="77777777" w:rsidR="00CD3670" w:rsidRPr="00DA5059" w:rsidRDefault="00C0688A" w:rsidP="00F301CF">
      <w:pPr>
        <w:tabs>
          <w:tab w:val="left" w:pos="284"/>
        </w:tabs>
        <w:spacing w:line="240" w:lineRule="exact"/>
        <w:ind w:left="284" w:hanging="284"/>
      </w:pPr>
      <w:r>
        <w:t>–</w:t>
      </w:r>
      <w:r>
        <w:tab/>
      </w:r>
      <w:r w:rsidR="00CD3670" w:rsidRPr="00DA5059">
        <w:t>Introduzione al corso ed alla valutazione</w:t>
      </w:r>
      <w:r>
        <w:t>;</w:t>
      </w:r>
    </w:p>
    <w:p w14:paraId="451F9F09" w14:textId="4E86967B" w:rsidR="0082032E" w:rsidRPr="00123D1C" w:rsidRDefault="00C0688A" w:rsidP="0082032E">
      <w:pPr>
        <w:spacing w:line="240" w:lineRule="exact"/>
        <w:ind w:left="284" w:hanging="284"/>
      </w:pPr>
      <w:r w:rsidRPr="00123D1C">
        <w:t>–</w:t>
      </w:r>
      <w:r w:rsidRPr="00123D1C">
        <w:tab/>
      </w:r>
      <w:r w:rsidR="0082032E">
        <w:t>Presentazione dei principali</w:t>
      </w:r>
      <w:r w:rsidR="00CD3670" w:rsidRPr="00123D1C">
        <w:t xml:space="preserve"> approcci </w:t>
      </w:r>
      <w:r w:rsidR="0082032E">
        <w:t>teorici della criminologia moderna e contemporanea</w:t>
      </w:r>
      <w:r w:rsidR="00123D1C" w:rsidRPr="00123D1C">
        <w:t xml:space="preserve"> (ad esempio: </w:t>
      </w:r>
      <w:r w:rsidR="00123D1C" w:rsidRPr="00123D1C">
        <w:rPr>
          <w:i/>
        </w:rPr>
        <w:t>rational choice theory, routine activity theory, social disorganization theory, general theory of crime</w:t>
      </w:r>
      <w:r w:rsidR="00123D1C" w:rsidRPr="00123D1C">
        <w:t>)</w:t>
      </w:r>
      <w:r w:rsidR="0082032E">
        <w:t>;</w:t>
      </w:r>
    </w:p>
    <w:p w14:paraId="27D30657" w14:textId="0E6E022B" w:rsidR="00CD3670" w:rsidRDefault="00C0688A" w:rsidP="00F301CF">
      <w:pPr>
        <w:tabs>
          <w:tab w:val="left" w:pos="284"/>
        </w:tabs>
        <w:spacing w:line="240" w:lineRule="exact"/>
        <w:ind w:left="284" w:hanging="284"/>
      </w:pPr>
      <w:r>
        <w:t>–</w:t>
      </w:r>
      <w:r>
        <w:tab/>
      </w:r>
      <w:r w:rsidR="0082032E">
        <w:t xml:space="preserve">Attraverso la lettura e l’analisi guidata di articoli scientifici da parte delle studentesse e degli studenti, comprensione di come questi approcci teorici sono stati testati in letteratura; </w:t>
      </w:r>
    </w:p>
    <w:p w14:paraId="65A70DFF" w14:textId="77777777" w:rsidR="00CD3670" w:rsidRPr="00DA5059" w:rsidRDefault="006A7218" w:rsidP="00F301CF">
      <w:pPr>
        <w:pStyle w:val="Paragrafoelenco"/>
        <w:numPr>
          <w:ilvl w:val="0"/>
          <w:numId w:val="5"/>
        </w:numPr>
        <w:spacing w:line="240" w:lineRule="exact"/>
        <w:ind w:left="284" w:hanging="284"/>
      </w:pPr>
      <w:r>
        <w:t xml:space="preserve">Discussione </w:t>
      </w:r>
      <w:r w:rsidR="00D55290">
        <w:t xml:space="preserve">in classe </w:t>
      </w:r>
      <w:r>
        <w:t>ed approfondimento degli studi trattati</w:t>
      </w:r>
      <w:r w:rsidR="00123D1C">
        <w:t>.</w:t>
      </w:r>
    </w:p>
    <w:p w14:paraId="54D0DA09" w14:textId="77777777" w:rsidR="00CD3670" w:rsidRPr="00F301CF" w:rsidRDefault="00CD3670" w:rsidP="00F301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B496269" w14:textId="696E21E6" w:rsidR="004605FE" w:rsidRPr="00D01821" w:rsidRDefault="004605FE" w:rsidP="004605FE">
      <w:pPr>
        <w:pStyle w:val="Testo2"/>
        <w:rPr>
          <w:rFonts w:ascii="Times New Roman" w:hAnsi="Times New Roman"/>
          <w:szCs w:val="18"/>
        </w:rPr>
      </w:pPr>
      <w:r w:rsidRPr="00D01821">
        <w:rPr>
          <w:rFonts w:ascii="Times New Roman" w:hAnsi="Times New Roman"/>
          <w:szCs w:val="18"/>
        </w:rPr>
        <w:t xml:space="preserve">La bibliografia di riferimento è costituita da saggi e capitoli di libro in lingua inglese ed è aggiornata di anno in anno. La bibliografia aggiornata sarà </w:t>
      </w:r>
      <w:r w:rsidR="00111297">
        <w:rPr>
          <w:rFonts w:ascii="Times New Roman" w:hAnsi="Times New Roman"/>
          <w:szCs w:val="18"/>
        </w:rPr>
        <w:t xml:space="preserve">fornità a inizio corso tramite </w:t>
      </w:r>
      <w:r w:rsidR="00111297" w:rsidRPr="00111297">
        <w:rPr>
          <w:rFonts w:ascii="Times New Roman" w:hAnsi="Times New Roman"/>
          <w:i/>
          <w:szCs w:val="18"/>
        </w:rPr>
        <w:t>B</w:t>
      </w:r>
      <w:r w:rsidRPr="00111297">
        <w:rPr>
          <w:rFonts w:ascii="Times New Roman" w:hAnsi="Times New Roman"/>
          <w:i/>
          <w:szCs w:val="18"/>
        </w:rPr>
        <w:t>lackboard</w:t>
      </w:r>
      <w:r w:rsidRPr="00D01821">
        <w:rPr>
          <w:rFonts w:ascii="Times New Roman" w:hAnsi="Times New Roman"/>
          <w:szCs w:val="18"/>
        </w:rPr>
        <w:t>. A mero titolo informativo si riporta la b</w:t>
      </w:r>
      <w:r w:rsidR="00B53A05" w:rsidRPr="00D01821">
        <w:rPr>
          <w:rFonts w:ascii="Times New Roman" w:hAnsi="Times New Roman"/>
          <w:szCs w:val="18"/>
        </w:rPr>
        <w:t>ibliografia per l’a.a. 202</w:t>
      </w:r>
      <w:r w:rsidR="0082032E">
        <w:rPr>
          <w:rFonts w:ascii="Times New Roman" w:hAnsi="Times New Roman"/>
          <w:szCs w:val="18"/>
        </w:rPr>
        <w:t>2</w:t>
      </w:r>
      <w:r w:rsidR="00B53A05" w:rsidRPr="00D01821">
        <w:rPr>
          <w:rFonts w:ascii="Times New Roman" w:hAnsi="Times New Roman"/>
          <w:szCs w:val="18"/>
        </w:rPr>
        <w:t>-202</w:t>
      </w:r>
      <w:r w:rsidR="0082032E">
        <w:rPr>
          <w:rFonts w:ascii="Times New Roman" w:hAnsi="Times New Roman"/>
          <w:szCs w:val="18"/>
        </w:rPr>
        <w:t>3</w:t>
      </w:r>
      <w:r w:rsidRPr="00D01821">
        <w:rPr>
          <w:rFonts w:ascii="Times New Roman" w:hAnsi="Times New Roman"/>
          <w:szCs w:val="18"/>
        </w:rPr>
        <w:t>:</w:t>
      </w:r>
    </w:p>
    <w:p w14:paraId="7951397F" w14:textId="6958F02A" w:rsidR="008C4BC9" w:rsidRPr="009F5C7A" w:rsidRDefault="007A6CE3" w:rsidP="00277748">
      <w:pPr>
        <w:pStyle w:val="Testo1"/>
        <w:spacing w:before="120"/>
        <w:rPr>
          <w:u w:val="single"/>
          <w:lang w:val="en-GB"/>
        </w:rPr>
      </w:pPr>
      <w:r>
        <w:rPr>
          <w:u w:val="single"/>
          <w:lang w:val="en-GB"/>
        </w:rPr>
        <w:t>Manuale</w:t>
      </w:r>
      <w:r w:rsidR="008C4BC9" w:rsidRPr="009F5C7A">
        <w:rPr>
          <w:u w:val="single"/>
          <w:lang w:val="en-GB"/>
        </w:rPr>
        <w:t>:</w:t>
      </w:r>
    </w:p>
    <w:p w14:paraId="3C17B7F2" w14:textId="552AE409" w:rsidR="008C4BC9" w:rsidRPr="001646D8" w:rsidRDefault="008C4BC9" w:rsidP="00767F50">
      <w:pPr>
        <w:pStyle w:val="Testo2"/>
        <w:ind w:firstLine="0"/>
        <w:rPr>
          <w:lang w:val="en-GB"/>
        </w:rPr>
      </w:pPr>
      <w:r w:rsidRPr="001646D8">
        <w:rPr>
          <w:lang w:val="en-GB"/>
        </w:rPr>
        <w:t>Hopkins</w:t>
      </w:r>
      <w:r w:rsidR="001646D8">
        <w:rPr>
          <w:lang w:val="en-GB"/>
        </w:rPr>
        <w:t xml:space="preserve"> R.</w:t>
      </w:r>
      <w:r w:rsidRPr="001646D8">
        <w:rPr>
          <w:lang w:val="en-GB"/>
        </w:rPr>
        <w:t xml:space="preserve"> Burke</w:t>
      </w:r>
      <w:r w:rsidR="001646D8">
        <w:rPr>
          <w:lang w:val="en-GB"/>
        </w:rPr>
        <w:t xml:space="preserve"> (2009) “</w:t>
      </w:r>
      <w:r w:rsidRPr="001646D8">
        <w:rPr>
          <w:lang w:val="en-GB"/>
        </w:rPr>
        <w:t>An Introduction to Criminological Theory</w:t>
      </w:r>
      <w:r w:rsidR="001646D8">
        <w:rPr>
          <w:lang w:val="en-GB"/>
        </w:rPr>
        <w:t>”</w:t>
      </w:r>
      <w:r w:rsidRPr="001646D8">
        <w:rPr>
          <w:lang w:val="en-GB"/>
        </w:rPr>
        <w:t xml:space="preserve"> </w:t>
      </w:r>
      <w:r w:rsidR="00277748" w:rsidRPr="001646D8">
        <w:rPr>
          <w:lang w:val="en-GB"/>
        </w:rPr>
        <w:t>– Third E</w:t>
      </w:r>
      <w:r w:rsidR="001646D8">
        <w:rPr>
          <w:lang w:val="en-GB"/>
        </w:rPr>
        <w:t>dition, Willan Publishing (s</w:t>
      </w:r>
      <w:r w:rsidRPr="001646D8">
        <w:rPr>
          <w:lang w:val="en-GB"/>
        </w:rPr>
        <w:t>elected chapters related to the selecte</w:t>
      </w:r>
      <w:r w:rsidR="009F5C7A">
        <w:rPr>
          <w:lang w:val="en-GB"/>
        </w:rPr>
        <w:t>d topics:</w:t>
      </w:r>
      <w:r w:rsidRPr="001646D8">
        <w:rPr>
          <w:lang w:val="en-GB"/>
        </w:rPr>
        <w:t xml:space="preserve"> </w:t>
      </w:r>
      <w:r w:rsidR="0082032E" w:rsidRPr="0082032E">
        <w:rPr>
          <w:lang w:val="en-GB"/>
        </w:rPr>
        <w:t>4, 7, 9, 14, 15</w:t>
      </w:r>
      <w:r w:rsidR="001646D8">
        <w:rPr>
          <w:lang w:val="en-GB"/>
        </w:rPr>
        <w:t>)</w:t>
      </w:r>
      <w:r w:rsidRPr="001646D8">
        <w:rPr>
          <w:lang w:val="en-GB"/>
        </w:rPr>
        <w:t>.</w:t>
      </w:r>
    </w:p>
    <w:p w14:paraId="0EEFC2FB" w14:textId="56CABF7F" w:rsidR="00D01821" w:rsidRPr="00D01821" w:rsidRDefault="007A6CE3" w:rsidP="00D01821">
      <w:pPr>
        <w:pStyle w:val="Testo1"/>
        <w:rPr>
          <w:szCs w:val="18"/>
          <w:u w:val="single"/>
          <w:lang w:val="en-GB"/>
        </w:rPr>
      </w:pPr>
      <w:r>
        <w:rPr>
          <w:szCs w:val="18"/>
          <w:u w:val="single"/>
          <w:lang w:val="en-GB"/>
        </w:rPr>
        <w:t>Articoli scientifici</w:t>
      </w:r>
      <w:r w:rsidR="008C4BC9" w:rsidRPr="00D01821">
        <w:rPr>
          <w:szCs w:val="18"/>
          <w:u w:val="single"/>
          <w:lang w:val="en-GB"/>
        </w:rPr>
        <w:t>:</w:t>
      </w:r>
    </w:p>
    <w:p w14:paraId="1BB2C38C" w14:textId="77777777" w:rsidR="00D01821" w:rsidRPr="00D01821" w:rsidRDefault="00D01821" w:rsidP="00D01821">
      <w:pPr>
        <w:pStyle w:val="Testo1"/>
        <w:rPr>
          <w:szCs w:val="18"/>
          <w:lang w:val="en-GB"/>
        </w:rPr>
      </w:pPr>
      <w:r w:rsidRPr="00D01821">
        <w:rPr>
          <w:szCs w:val="18"/>
          <w:lang w:val="en-GB"/>
        </w:rPr>
        <w:t>Loughran, T. A., Paternoster R., Chalfin A., and Wilson T. (2016) “Can Rational Choice Be Considered a General Theory of Crime? Evidence from Individual-Level Panel Data.”  Criminology 54 (1): 86–112.</w:t>
      </w:r>
    </w:p>
    <w:p w14:paraId="7AF8C0E8" w14:textId="77777777" w:rsidR="00D01821" w:rsidRPr="00D01821" w:rsidRDefault="00D01821" w:rsidP="00D01821">
      <w:pPr>
        <w:pStyle w:val="Testo1"/>
        <w:rPr>
          <w:szCs w:val="18"/>
          <w:lang w:val="en-GB"/>
        </w:rPr>
      </w:pPr>
      <w:r w:rsidRPr="00D01821">
        <w:rPr>
          <w:szCs w:val="18"/>
          <w:lang w:val="en-GB"/>
        </w:rPr>
        <w:lastRenderedPageBreak/>
        <w:t>Groff, E. (2007) “Simulation for Theory Testing and Experimentation. An Example Using Routine Activity Theory and Street Robbery.” Journal of Quantitative Criminology, 23: 75–103.</w:t>
      </w:r>
    </w:p>
    <w:p w14:paraId="2CB70DF4" w14:textId="77777777" w:rsidR="00D01821" w:rsidRPr="00D01821" w:rsidRDefault="00D01821" w:rsidP="00D01821">
      <w:pPr>
        <w:pStyle w:val="Testo1"/>
        <w:rPr>
          <w:szCs w:val="18"/>
          <w:lang w:val="en-GB"/>
        </w:rPr>
      </w:pPr>
      <w:r w:rsidRPr="00D01821">
        <w:rPr>
          <w:szCs w:val="18"/>
          <w:lang w:val="en-GB"/>
        </w:rPr>
        <w:t>Sampson, J. R. and Groves, B. W. (1989) “Community Structure and Crime: Testing Social-Disorganization Theory.” American Journal of Sociology 94: 774-802.</w:t>
      </w:r>
    </w:p>
    <w:p w14:paraId="4651B1A6" w14:textId="77777777" w:rsidR="00D01821" w:rsidRPr="00D01821" w:rsidRDefault="00D01821" w:rsidP="00D01821">
      <w:pPr>
        <w:pStyle w:val="Testo1"/>
        <w:rPr>
          <w:szCs w:val="18"/>
          <w:lang w:val="en-GB"/>
        </w:rPr>
      </w:pPr>
      <w:r w:rsidRPr="00D01821">
        <w:rPr>
          <w:szCs w:val="18"/>
          <w:lang w:val="en-GB"/>
        </w:rPr>
        <w:t>Schoepfer A. and Leeper Piquero N. (2006) “Exploring White-Collar Crime and the American Dream: A Partial Test of Institutional Anomie Theory.” Journal of Criminal Justice 34 (3): 227–35.</w:t>
      </w:r>
    </w:p>
    <w:p w14:paraId="4F1571C2" w14:textId="77777777" w:rsidR="00D01821" w:rsidRPr="00D01821" w:rsidRDefault="00D01821" w:rsidP="00D01821">
      <w:pPr>
        <w:pStyle w:val="Testo1"/>
        <w:rPr>
          <w:szCs w:val="18"/>
          <w:lang w:val="en-GB"/>
        </w:rPr>
      </w:pPr>
      <w:r w:rsidRPr="00D01821">
        <w:rPr>
          <w:szCs w:val="18"/>
          <w:lang w:val="en-GB"/>
        </w:rPr>
        <w:t>Bernburg, J. G., and Krohn M. D. (2003). “Labeling, Life Chances, and Adult Crime: The Direct and Indirect Effects of Official Intervention in Adolescence on Crime in Early Adulthood*.” Criminology 41 (4): 1287–1318.</w:t>
      </w:r>
    </w:p>
    <w:p w14:paraId="48B2786E" w14:textId="429F9ED9" w:rsidR="00D01821" w:rsidRDefault="00D01821" w:rsidP="00D01821">
      <w:pPr>
        <w:pStyle w:val="Testo1"/>
        <w:rPr>
          <w:szCs w:val="18"/>
        </w:rPr>
      </w:pPr>
      <w:r w:rsidRPr="00D01821">
        <w:rPr>
          <w:szCs w:val="18"/>
          <w:lang w:val="en-GB"/>
        </w:rPr>
        <w:t xml:space="preserve">Grasmick et al. (1993) “Testing the Core Empirical Implications of Gottfredson and Hirschi's General Theory of Crime.” </w:t>
      </w:r>
      <w:r w:rsidRPr="00254B23">
        <w:rPr>
          <w:szCs w:val="18"/>
        </w:rPr>
        <w:t>Journal of Research on Crime and Delinquency 30(1): 5-29.</w:t>
      </w:r>
    </w:p>
    <w:p w14:paraId="5660668E" w14:textId="5C3DC4C4" w:rsidR="00CD3670" w:rsidRPr="001646D8" w:rsidRDefault="00CD3670" w:rsidP="00D01821">
      <w:pPr>
        <w:spacing w:before="240" w:after="120" w:line="220" w:lineRule="exact"/>
        <w:rPr>
          <w:b/>
          <w:i/>
          <w:sz w:val="18"/>
        </w:rPr>
      </w:pPr>
      <w:r w:rsidRPr="001646D8">
        <w:rPr>
          <w:b/>
          <w:i/>
          <w:sz w:val="18"/>
        </w:rPr>
        <w:t>DIDATTICA DEL CORSO</w:t>
      </w:r>
    </w:p>
    <w:p w14:paraId="4B4B289B" w14:textId="25AA64DB" w:rsidR="00CD3670" w:rsidRPr="00CD3670" w:rsidRDefault="00CD3670" w:rsidP="006A7218">
      <w:pPr>
        <w:pStyle w:val="Testo2"/>
      </w:pPr>
      <w:r w:rsidRPr="00DD52D9">
        <w:t xml:space="preserve">Lezioni </w:t>
      </w:r>
      <w:r w:rsidR="005451B8" w:rsidRPr="00DD52D9">
        <w:t xml:space="preserve">frontali in aula; </w:t>
      </w:r>
      <w:r w:rsidRPr="00DD52D9">
        <w:t>preparazione, presentazione e discussione</w:t>
      </w:r>
      <w:r w:rsidR="006A7218" w:rsidRPr="00DD52D9">
        <w:t xml:space="preserve"> della letteratura scientifica</w:t>
      </w:r>
      <w:r w:rsidRPr="00DD52D9">
        <w:t>.</w:t>
      </w:r>
      <w:r w:rsidR="006A7218" w:rsidRPr="00DD52D9">
        <w:t xml:space="preserve"> </w:t>
      </w:r>
      <w:r w:rsidR="00111297" w:rsidRPr="00111297">
        <w:t>Ad eccezione della lezione introduttiva, il corso è tenuto in lingua inglese.</w:t>
      </w:r>
    </w:p>
    <w:p w14:paraId="1D61A60A" w14:textId="77777777" w:rsidR="00CD3670" w:rsidRDefault="00CD3670" w:rsidP="00CD36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462B9E68" w14:textId="3BAF55D5" w:rsidR="00CD3670" w:rsidRPr="00DA5059" w:rsidRDefault="002B4782" w:rsidP="00114979">
      <w:pPr>
        <w:pStyle w:val="Testo2"/>
      </w:pPr>
      <w:r>
        <w:t>Per studentesse e s</w:t>
      </w:r>
      <w:r w:rsidR="00CD3670" w:rsidRPr="00DA5059">
        <w:t>tudenti</w:t>
      </w:r>
      <w:r w:rsidR="00B53A05">
        <w:t xml:space="preserve"> che hanno partecipato ad</w:t>
      </w:r>
      <w:r w:rsidR="00CD3670" w:rsidRPr="00DA5059">
        <w:t xml:space="preserve"> al</w:t>
      </w:r>
      <w:r w:rsidR="00B53A05">
        <w:t>meno l’80% delle ore di lezione</w:t>
      </w:r>
      <w:r w:rsidR="00CD3670" w:rsidRPr="00DA5059">
        <w:t xml:space="preserve">: </w:t>
      </w:r>
      <w:r w:rsidR="006A7218">
        <w:t>esame scritto</w:t>
      </w:r>
      <w:r w:rsidR="00CD3670">
        <w:t xml:space="preserve"> </w:t>
      </w:r>
      <w:r w:rsidR="003C0CA5">
        <w:t xml:space="preserve">in lingua inglese </w:t>
      </w:r>
      <w:r w:rsidR="00CD3670">
        <w:t>basato sui contenuti delle lezioni e sulla letteratura analizzata in classe</w:t>
      </w:r>
      <w:r w:rsidR="003C0CA5">
        <w:t xml:space="preserve"> (4 domande aperte in 90 minuti</w:t>
      </w:r>
      <w:r w:rsidR="00114979">
        <w:t xml:space="preserve"> – 30 punti</w:t>
      </w:r>
      <w:r w:rsidR="00111297">
        <w:t xml:space="preserve"> con possibilità di acquisire la lode per esami eccellenti</w:t>
      </w:r>
      <w:r w:rsidR="003C0CA5">
        <w:t>)</w:t>
      </w:r>
      <w:r w:rsidR="00CD3670">
        <w:t>. Fino a 3 punti aggiuntivi possono essere ac</w:t>
      </w:r>
      <w:r w:rsidR="004B028C">
        <w:t>quisiti dai</w:t>
      </w:r>
      <w:r w:rsidR="00CD3670">
        <w:t xml:space="preserve"> frequentanti grazie alla partecipazione</w:t>
      </w:r>
      <w:r w:rsidR="006A7218">
        <w:t xml:space="preserve"> in classe</w:t>
      </w:r>
      <w:r w:rsidR="00111297">
        <w:t xml:space="preserve"> (consegna di assignment e partecipazione alla discussione</w:t>
      </w:r>
      <w:r>
        <w:t xml:space="preserve"> in classe</w:t>
      </w:r>
      <w:r w:rsidR="00111297">
        <w:t>)</w:t>
      </w:r>
      <w:r w:rsidR="00CD3670" w:rsidRPr="00DA5059">
        <w:t>.</w:t>
      </w:r>
      <w:r w:rsidR="00114979">
        <w:t xml:space="preserve"> Punteggi superiori a 30 corrispondono a</w:t>
      </w:r>
      <w:r w:rsidR="00111297">
        <w:t>utomaticamente ad</w:t>
      </w:r>
      <w:r w:rsidR="00114979">
        <w:t xml:space="preserve"> un voto di 30 e lode.</w:t>
      </w:r>
    </w:p>
    <w:p w14:paraId="1268CE48" w14:textId="012F1714" w:rsidR="00114979" w:rsidRDefault="004D15EA" w:rsidP="00CD3670">
      <w:pPr>
        <w:pStyle w:val="Testo2"/>
      </w:pPr>
      <w:r>
        <w:t xml:space="preserve">Per tutti </w:t>
      </w:r>
      <w:r w:rsidR="004B028C">
        <w:t xml:space="preserve">le altre studentese e </w:t>
      </w:r>
      <w:r>
        <w:t>gli altri studenti</w:t>
      </w:r>
      <w:r w:rsidR="00114979">
        <w:t xml:space="preserve">: </w:t>
      </w:r>
      <w:r w:rsidR="006A7218">
        <w:t>esame scritto</w:t>
      </w:r>
      <w:r w:rsidR="00CD3670">
        <w:t xml:space="preserve"> </w:t>
      </w:r>
      <w:r w:rsidR="00114979">
        <w:t xml:space="preserve">in lingua inglese </w:t>
      </w:r>
      <w:r w:rsidR="00CD3670">
        <w:t>basato</w:t>
      </w:r>
      <w:r w:rsidR="007C5579">
        <w:t xml:space="preserve"> </w:t>
      </w:r>
      <w:r w:rsidR="00111297">
        <w:t>sulle teorie criminologiche analizzate</w:t>
      </w:r>
      <w:r w:rsidR="00CD3670">
        <w:t xml:space="preserve"> durante le lezioni e su</w:t>
      </w:r>
      <w:r w:rsidR="007C5579">
        <w:t>gli articoli scientifici indicati</w:t>
      </w:r>
      <w:r w:rsidR="00CD3670">
        <w:t xml:space="preserve"> nel </w:t>
      </w:r>
      <w:r w:rsidR="00111297">
        <w:rPr>
          <w:i/>
        </w:rPr>
        <w:t>S</w:t>
      </w:r>
      <w:r w:rsidR="00CD3670" w:rsidRPr="006C2F4F">
        <w:rPr>
          <w:i/>
        </w:rPr>
        <w:t>yllabus</w:t>
      </w:r>
      <w:r w:rsidR="00114979">
        <w:rPr>
          <w:i/>
        </w:rPr>
        <w:t xml:space="preserve"> </w:t>
      </w:r>
      <w:r w:rsidR="00114979">
        <w:t>(4 domande aperte in 90 minuti – 30 punti</w:t>
      </w:r>
      <w:r w:rsidR="00111297">
        <w:t xml:space="preserve"> con possibilità di acquisire la lode per esami eccellenti</w:t>
      </w:r>
      <w:r w:rsidR="00114979">
        <w:t>)</w:t>
      </w:r>
      <w:r w:rsidR="00CD3670">
        <w:t>.</w:t>
      </w:r>
    </w:p>
    <w:p w14:paraId="59BE531B" w14:textId="38C0B36F" w:rsidR="00114979" w:rsidRDefault="004D15EA" w:rsidP="00CD3670">
      <w:pPr>
        <w:pStyle w:val="Testo2"/>
      </w:pPr>
      <w:r>
        <w:t>All’inizio del corso s</w:t>
      </w:r>
      <w:r w:rsidR="00114979">
        <w:t xml:space="preserve">arà disponibile in </w:t>
      </w:r>
      <w:r w:rsidR="00114979" w:rsidRPr="00114979">
        <w:rPr>
          <w:i/>
        </w:rPr>
        <w:t>Blackboard</w:t>
      </w:r>
      <w:r w:rsidR="00114979">
        <w:t xml:space="preserve"> un documento che guiderà </w:t>
      </w:r>
      <w:r w:rsidR="004B028C">
        <w:t xml:space="preserve">studentesse e studenti nella </w:t>
      </w:r>
      <w:r w:rsidR="00114979">
        <w:t>preparazione della prova finale (</w:t>
      </w:r>
      <w:r w:rsidR="00114979" w:rsidRPr="00114979">
        <w:t xml:space="preserve">Applied Criminology – final exam </w:t>
      </w:r>
      <w:r w:rsidR="00114979">
        <w:t xml:space="preserve">instructions). </w:t>
      </w:r>
    </w:p>
    <w:p w14:paraId="7587206D" w14:textId="77777777" w:rsidR="00114979" w:rsidRDefault="00114979" w:rsidP="0011497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D6B430A" w14:textId="3E497784" w:rsidR="00B87694" w:rsidRDefault="00B87694" w:rsidP="00B87694">
      <w:pPr>
        <w:pStyle w:val="Testo2"/>
      </w:pPr>
      <w:r w:rsidRPr="00330C13">
        <w:t>La frequenza è altamente consigliata.</w:t>
      </w:r>
      <w:r>
        <w:t xml:space="preserve"> Non sono previsti pre-requisiti per l’accesso.</w:t>
      </w:r>
      <w:r w:rsidRPr="00330C13">
        <w:t xml:space="preserve"> </w:t>
      </w:r>
      <w:r>
        <w:t>Il programma aggiornato, la bibliografia, le istruzioni e altri documenti saranno pubblicati sulla pagina Blackboard del modulo. Inoltre, la Blackboard sarà utilizzata per comunicare eventuali cambiamenti di orario, informazioni sugli esami e altre segnalazion</w:t>
      </w:r>
      <w:r w:rsidR="004B028C">
        <w:t>i importanti. Tutti le studentesse e gli studenti</w:t>
      </w:r>
      <w:r>
        <w:t>, sia frequentanti che non, in corso o fuori corso, sono invitati ad iscriversi al corso in Blackboard e a tenersi costantemente aggiornati.</w:t>
      </w:r>
    </w:p>
    <w:p w14:paraId="0619F1AD" w14:textId="094EDE76" w:rsidR="00B87694" w:rsidRDefault="00B87694" w:rsidP="005E4C36">
      <w:pPr>
        <w:pStyle w:val="Testo2"/>
      </w:pPr>
      <w:r>
        <w:t xml:space="preserve">Ogni anno il programma è aggiornato per tenere </w:t>
      </w:r>
      <w:r w:rsidR="004B028C">
        <w:t>conto delle preferenze delle studentesse e degli</w:t>
      </w:r>
      <w:r>
        <w:t xml:space="preserve"> studenti rispetto ad alcune teorie che vorrebbero approfondire. </w:t>
      </w:r>
      <w:r w:rsidR="004B028C">
        <w:t xml:space="preserve">Per questo motivo, </w:t>
      </w:r>
      <w:r w:rsidR="004B028C">
        <w:lastRenderedPageBreak/>
        <w:t>coloro</w:t>
      </w:r>
      <w:r>
        <w:t xml:space="preserve"> che non superano l'esame entro gli otto appelli previsti dovranno attenersi al programma e alle modalità di esame del corso erogato nell'anno accademico successivo.</w:t>
      </w:r>
    </w:p>
    <w:p w14:paraId="3F3CA01D" w14:textId="77777777" w:rsidR="00CD3670" w:rsidRDefault="00CD3670" w:rsidP="005E4C36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8A30C2">
        <w:rPr>
          <w:rFonts w:ascii="Times New Roman" w:hAnsi="Times New Roman"/>
          <w:i/>
          <w:szCs w:val="18"/>
        </w:rPr>
        <w:t>Orario e luogo di ricevimento</w:t>
      </w:r>
    </w:p>
    <w:p w14:paraId="13D7596C" w14:textId="5A635541" w:rsidR="005451B8" w:rsidRDefault="00D01821" w:rsidP="005451B8">
      <w:pPr>
        <w:pStyle w:val="Testo2"/>
      </w:pPr>
      <w:r>
        <w:t xml:space="preserve">La </w:t>
      </w:r>
      <w:r w:rsidR="005451B8">
        <w:t>Prof.</w:t>
      </w:r>
      <w:r>
        <w:t>ssa</w:t>
      </w:r>
      <w:r w:rsidR="005451B8">
        <w:t xml:space="preserve"> Serena Favarin</w:t>
      </w:r>
      <w:r w:rsidR="004B028C">
        <w:t xml:space="preserve"> riceve le studentesse e gli studenti </w:t>
      </w:r>
      <w:r w:rsidRPr="00330C13">
        <w:t xml:space="preserve">su appuntamento </w:t>
      </w:r>
      <w:r w:rsidRPr="00F13544">
        <w:t xml:space="preserve">in remoto o in presenza </w:t>
      </w:r>
      <w:r w:rsidRPr="00330C13">
        <w:t>presso gli uffici di TRANSCRIME</w:t>
      </w:r>
      <w:r w:rsidR="005451B8" w:rsidRPr="00DA5059">
        <w:t xml:space="preserve"> (</w:t>
      </w:r>
      <w:r w:rsidR="005451B8">
        <w:t>Via S. Vittore 43</w:t>
      </w:r>
      <w:r w:rsidR="005451B8" w:rsidRPr="00DA5059">
        <w:t xml:space="preserve">, piano </w:t>
      </w:r>
      <w:r w:rsidR="005451B8">
        <w:t>interrato</w:t>
      </w:r>
      <w:r w:rsidR="005451B8" w:rsidRPr="00DA5059">
        <w:t>). Per appuntamento indirizzare</w:t>
      </w:r>
      <w:r w:rsidR="007F0A39">
        <w:t xml:space="preserve"> una</w:t>
      </w:r>
      <w:r w:rsidR="005451B8" w:rsidRPr="00DA5059">
        <w:t xml:space="preserve"> e-mail a: </w:t>
      </w:r>
      <w:r w:rsidR="005451B8">
        <w:rPr>
          <w:i/>
        </w:rPr>
        <w:t>serena.favarin</w:t>
      </w:r>
      <w:r w:rsidR="005451B8" w:rsidRPr="00517610">
        <w:rPr>
          <w:i/>
        </w:rPr>
        <w:t>@unicatt.it</w:t>
      </w:r>
      <w:r w:rsidR="005451B8" w:rsidRPr="00DA5059">
        <w:t>.</w:t>
      </w:r>
    </w:p>
    <w:p w14:paraId="478E3264" w14:textId="77777777" w:rsidR="002105A8" w:rsidRPr="00517610" w:rsidRDefault="002105A8" w:rsidP="00461906">
      <w:pPr>
        <w:spacing w:before="240" w:line="240" w:lineRule="auto"/>
        <w:outlineLvl w:val="0"/>
        <w:rPr>
          <w:rFonts w:ascii="Cambria" w:eastAsia="Cambria" w:hAnsi="Cambria"/>
          <w:szCs w:val="20"/>
        </w:rPr>
      </w:pPr>
      <w:proofErr w:type="gramStart"/>
      <w:r w:rsidRPr="006B0CE8">
        <w:rPr>
          <w:rFonts w:eastAsia="Cambria"/>
          <w:smallCaps/>
          <w:sz w:val="18"/>
          <w:szCs w:val="24"/>
        </w:rPr>
        <w:t>II</w:t>
      </w:r>
      <w:proofErr w:type="gramEnd"/>
      <w:r w:rsidRPr="006B0CE8">
        <w:rPr>
          <w:rFonts w:eastAsia="Cambria"/>
          <w:smallCaps/>
          <w:sz w:val="18"/>
          <w:szCs w:val="24"/>
        </w:rPr>
        <w:t xml:space="preserve"> Modulo</w:t>
      </w:r>
      <w:r w:rsidRPr="00AA701F">
        <w:rPr>
          <w:rFonts w:eastAsia="Cambria"/>
          <w:szCs w:val="20"/>
        </w:rPr>
        <w:t>:</w:t>
      </w:r>
      <w:r w:rsidRPr="00AA701F">
        <w:rPr>
          <w:rFonts w:eastAsia="Cambria"/>
          <w:i/>
          <w:szCs w:val="20"/>
        </w:rPr>
        <w:t xml:space="preserve"> </w:t>
      </w:r>
      <w:r w:rsidRPr="00DD52D9">
        <w:rPr>
          <w:rFonts w:eastAsia="Cambria"/>
          <w:i/>
          <w:szCs w:val="20"/>
        </w:rPr>
        <w:t>Criminalità organizzata</w:t>
      </w:r>
      <w:r w:rsidRPr="00DD52D9">
        <w:rPr>
          <w:rFonts w:eastAsia="Cambria"/>
          <w:szCs w:val="20"/>
        </w:rPr>
        <w:t xml:space="preserve"> </w:t>
      </w:r>
      <w:r w:rsidRPr="00517610">
        <w:rPr>
          <w:rFonts w:eastAsia="Cambria"/>
          <w:szCs w:val="20"/>
        </w:rPr>
        <w:t>(Prof. Francesco Calderoni)</w:t>
      </w:r>
    </w:p>
    <w:p w14:paraId="352FFBF9" w14:textId="77777777" w:rsidR="006F1772" w:rsidRDefault="002105A8" w:rsidP="002105A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8324C">
        <w:rPr>
          <w:b/>
          <w:i/>
          <w:sz w:val="18"/>
        </w:rPr>
        <w:t xml:space="preserve"> E RISULTATI DI APPRENDIMENTO ATTESI</w:t>
      </w:r>
    </w:p>
    <w:p w14:paraId="0CE24A8A" w14:textId="77777777" w:rsidR="005129A2" w:rsidRDefault="002105A8" w:rsidP="002F4AEF">
      <w:pPr>
        <w:spacing w:line="240" w:lineRule="exact"/>
      </w:pPr>
      <w:r>
        <w:t>Il corso analizza</w:t>
      </w:r>
      <w:r w:rsidR="0058324C">
        <w:t xml:space="preserve"> criticamente</w:t>
      </w:r>
      <w:r>
        <w:t xml:space="preserve"> il concetto </w:t>
      </w:r>
      <w:r w:rsidR="0058324C">
        <w:t xml:space="preserve">di </w:t>
      </w:r>
      <w:r>
        <w:t xml:space="preserve">criminalità organizzata. </w:t>
      </w:r>
    </w:p>
    <w:p w14:paraId="605243C2" w14:textId="77777777" w:rsidR="002105A8" w:rsidRPr="00DA5059" w:rsidRDefault="005129A2" w:rsidP="002F4AEF">
      <w:pPr>
        <w:spacing w:line="240" w:lineRule="exact"/>
      </w:pPr>
      <w:r>
        <w:t xml:space="preserve">Al termine del corso, lo studente sarà in grado di </w:t>
      </w:r>
      <w:r w:rsidR="002105A8">
        <w:t xml:space="preserve">a) </w:t>
      </w:r>
      <w:r>
        <w:t xml:space="preserve">analizzare criticamente le interpretazioni, la letteratura e i dati sulla criminalità organizzata, </w:t>
      </w:r>
      <w:r w:rsidR="002105A8">
        <w:t xml:space="preserve">b) </w:t>
      </w:r>
      <w:r>
        <w:t xml:space="preserve">partecipare attivamente </w:t>
      </w:r>
      <w:r w:rsidR="00932BFF">
        <w:t xml:space="preserve">a una discussione </w:t>
      </w:r>
      <w:r w:rsidR="002105A8">
        <w:t>sulla base della letteratura scientifica</w:t>
      </w:r>
      <w:r w:rsidR="00932BFF">
        <w:t xml:space="preserve"> sulla criminalità organizzata</w:t>
      </w:r>
      <w:r w:rsidR="002105A8">
        <w:t xml:space="preserve">; c) </w:t>
      </w:r>
      <w:r w:rsidR="00932BFF">
        <w:t xml:space="preserve">identificare </w:t>
      </w:r>
      <w:r w:rsidR="002105A8">
        <w:t>problemi della ricerca</w:t>
      </w:r>
      <w:r w:rsidR="00C41414">
        <w:t>,</w:t>
      </w:r>
      <w:r w:rsidR="002105A8">
        <w:t xml:space="preserve"> </w:t>
      </w:r>
      <w:r w:rsidR="00932BFF">
        <w:t xml:space="preserve">elaborare saggi di </w:t>
      </w:r>
      <w:r w:rsidR="002105A8">
        <w:t>scrittura argomentativa</w:t>
      </w:r>
      <w:r w:rsidR="00C41414">
        <w:t xml:space="preserve">, comunicare oralmente e per iscritto in lingua inglese </w:t>
      </w:r>
      <w:r w:rsidR="00932BFF">
        <w:t>su temi inerenti alle organizzazioni criminali</w:t>
      </w:r>
      <w:r w:rsidR="002105A8">
        <w:t>.</w:t>
      </w:r>
    </w:p>
    <w:p w14:paraId="4EFE4916" w14:textId="77777777" w:rsidR="002105A8" w:rsidRDefault="002105A8" w:rsidP="002105A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46A225" w14:textId="77777777" w:rsidR="002105A8" w:rsidRPr="00DA5059" w:rsidRDefault="002105A8" w:rsidP="002128C4">
      <w:pPr>
        <w:pStyle w:val="Paragrafoelenco"/>
        <w:numPr>
          <w:ilvl w:val="0"/>
          <w:numId w:val="5"/>
        </w:numPr>
        <w:tabs>
          <w:tab w:val="left" w:pos="426"/>
        </w:tabs>
        <w:spacing w:line="240" w:lineRule="exact"/>
        <w:ind w:left="284" w:hanging="284"/>
      </w:pPr>
      <w:r w:rsidRPr="00DA5059">
        <w:t>Introduzione al corso ed alla valutazione</w:t>
      </w:r>
      <w:r w:rsidR="00696916">
        <w:t>;</w:t>
      </w:r>
    </w:p>
    <w:p w14:paraId="0CC70E0E" w14:textId="77777777" w:rsidR="002105A8" w:rsidRPr="00DA5059" w:rsidRDefault="002105A8" w:rsidP="00C73B81">
      <w:pPr>
        <w:pStyle w:val="Paragrafoelenco"/>
        <w:numPr>
          <w:ilvl w:val="0"/>
          <w:numId w:val="5"/>
        </w:numPr>
        <w:tabs>
          <w:tab w:val="left" w:pos="426"/>
        </w:tabs>
        <w:spacing w:line="240" w:lineRule="exact"/>
        <w:ind w:left="284" w:hanging="284"/>
      </w:pPr>
      <w:r w:rsidRPr="00DA5059">
        <w:t>Criminalità organizzata</w:t>
      </w:r>
      <w:r w:rsidR="00C41414">
        <w:t>: i</w:t>
      </w:r>
      <w:r w:rsidRPr="00DA5059">
        <w:t xml:space="preserve"> diversi approcci teorici ed interpretativi</w:t>
      </w:r>
      <w:r w:rsidR="00696916">
        <w:t>;</w:t>
      </w:r>
    </w:p>
    <w:p w14:paraId="4B72F3CB" w14:textId="77777777" w:rsidR="002105A8" w:rsidRDefault="002105A8" w:rsidP="002128C4">
      <w:pPr>
        <w:pStyle w:val="Paragrafoelenco"/>
        <w:numPr>
          <w:ilvl w:val="0"/>
          <w:numId w:val="5"/>
        </w:numPr>
        <w:tabs>
          <w:tab w:val="left" w:pos="426"/>
        </w:tabs>
        <w:spacing w:line="240" w:lineRule="exact"/>
        <w:ind w:left="284" w:hanging="284"/>
      </w:pPr>
      <w:r w:rsidRPr="00DA5059">
        <w:t xml:space="preserve">Le problematiche relative alla </w:t>
      </w:r>
      <w:r w:rsidR="00C41414">
        <w:t xml:space="preserve">costruzione sociale, concettualizzazione </w:t>
      </w:r>
      <w:r w:rsidRPr="00DA5059">
        <w:t xml:space="preserve">definizione </w:t>
      </w:r>
      <w:r w:rsidR="00C41414">
        <w:t>della</w:t>
      </w:r>
      <w:r w:rsidRPr="00DA5059">
        <w:t xml:space="preserve"> criminalità organizzata</w:t>
      </w:r>
      <w:r w:rsidR="00696916">
        <w:t>;</w:t>
      </w:r>
    </w:p>
    <w:p w14:paraId="50FFE2CA" w14:textId="77777777" w:rsidR="002105A8" w:rsidRDefault="002105A8" w:rsidP="002128C4">
      <w:pPr>
        <w:pStyle w:val="Paragrafoelenco"/>
        <w:numPr>
          <w:ilvl w:val="0"/>
          <w:numId w:val="5"/>
        </w:numPr>
        <w:tabs>
          <w:tab w:val="left" w:pos="426"/>
        </w:tabs>
        <w:spacing w:line="240" w:lineRule="exact"/>
        <w:ind w:left="284" w:hanging="284"/>
      </w:pPr>
      <w:r>
        <w:t>Le attività della criminalità organizzata nell’economia illecita e in quella legale</w:t>
      </w:r>
      <w:r w:rsidR="00696916">
        <w:t>;</w:t>
      </w:r>
    </w:p>
    <w:p w14:paraId="03AC370E" w14:textId="77777777" w:rsidR="002105A8" w:rsidRDefault="002105A8" w:rsidP="002128C4">
      <w:pPr>
        <w:pStyle w:val="Paragrafoelenco"/>
        <w:numPr>
          <w:ilvl w:val="0"/>
          <w:numId w:val="5"/>
        </w:numPr>
        <w:tabs>
          <w:tab w:val="left" w:pos="426"/>
        </w:tabs>
        <w:spacing w:line="240" w:lineRule="exact"/>
        <w:ind w:left="284" w:hanging="284"/>
      </w:pPr>
      <w:r w:rsidRPr="00DA5059">
        <w:t>Le attività della criminalità organizzata. Focus: il traffico di droga</w:t>
      </w:r>
      <w:r w:rsidR="00696916">
        <w:t>;</w:t>
      </w:r>
    </w:p>
    <w:p w14:paraId="00C8B522" w14:textId="77777777" w:rsidR="008413C4" w:rsidRDefault="008413C4" w:rsidP="002128C4">
      <w:pPr>
        <w:pStyle w:val="Paragrafoelenco"/>
        <w:numPr>
          <w:ilvl w:val="0"/>
          <w:numId w:val="5"/>
        </w:numPr>
        <w:tabs>
          <w:tab w:val="left" w:pos="426"/>
        </w:tabs>
        <w:spacing w:line="240" w:lineRule="exact"/>
        <w:ind w:left="284" w:hanging="284"/>
      </w:pPr>
      <w:r>
        <w:t>Le attività della criminalità organizzata. Focus: altri mercati illegali</w:t>
      </w:r>
      <w:r w:rsidR="00696916">
        <w:t>;</w:t>
      </w:r>
    </w:p>
    <w:p w14:paraId="111E9BA1" w14:textId="317039C4" w:rsidR="002516F8" w:rsidRDefault="002516F8" w:rsidP="002128C4">
      <w:pPr>
        <w:pStyle w:val="Paragrafoelenco"/>
        <w:numPr>
          <w:ilvl w:val="0"/>
          <w:numId w:val="5"/>
        </w:numPr>
        <w:tabs>
          <w:tab w:val="left" w:pos="426"/>
        </w:tabs>
        <w:spacing w:line="240" w:lineRule="exact"/>
        <w:ind w:left="284" w:hanging="284"/>
      </w:pPr>
      <w:r>
        <w:t>Il movimento dei gruppi criminali</w:t>
      </w:r>
      <w:r w:rsidR="0082032E">
        <w:t>;</w:t>
      </w:r>
    </w:p>
    <w:p w14:paraId="2ED990CD" w14:textId="391260F6" w:rsidR="008413C4" w:rsidRPr="00DA5059" w:rsidRDefault="008413C4" w:rsidP="002128C4">
      <w:pPr>
        <w:pStyle w:val="Paragrafoelenco"/>
        <w:numPr>
          <w:ilvl w:val="0"/>
          <w:numId w:val="5"/>
        </w:numPr>
        <w:tabs>
          <w:tab w:val="left" w:pos="426"/>
        </w:tabs>
        <w:spacing w:line="240" w:lineRule="exact"/>
        <w:ind w:left="284" w:hanging="284"/>
      </w:pPr>
      <w:r>
        <w:t>I ricavi e gli investimenti della criminalità organizzata</w:t>
      </w:r>
      <w:r w:rsidR="00696916">
        <w:t>.</w:t>
      </w:r>
    </w:p>
    <w:p w14:paraId="6B94CBD5" w14:textId="77777777" w:rsidR="002105A8" w:rsidRPr="00F301CF" w:rsidRDefault="002105A8" w:rsidP="00F301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65C9B09" w14:textId="281DCA52" w:rsidR="000E3EB8" w:rsidRDefault="002105A8" w:rsidP="00637BE8">
      <w:pPr>
        <w:pStyle w:val="Testo1"/>
      </w:pPr>
      <w:r w:rsidRPr="00DA5059">
        <w:t xml:space="preserve">La bibliografia </w:t>
      </w:r>
      <w:r w:rsidR="000E3EB8">
        <w:t>di riferimento è costituita da saggi e capitoli di libro in lingua inglese ed è aggiornata di anno in anno. La bibliografia aggiornata sarà fornità a inizio corso</w:t>
      </w:r>
      <w:r w:rsidR="0025399E">
        <w:t xml:space="preserve"> tramite blackboard</w:t>
      </w:r>
      <w:r w:rsidR="000E3EB8">
        <w:t>. A mero titolo informativo si riporta la bibliografia per l’a.a. 20</w:t>
      </w:r>
      <w:r w:rsidR="002516F8">
        <w:t>2</w:t>
      </w:r>
      <w:r w:rsidR="00254B23">
        <w:t>2</w:t>
      </w:r>
      <w:r w:rsidR="000E3EB8">
        <w:t>-20</w:t>
      </w:r>
      <w:r w:rsidR="00ED7E14">
        <w:t>2</w:t>
      </w:r>
      <w:r w:rsidR="00254B23">
        <w:t>3</w:t>
      </w:r>
      <w:r w:rsidR="000E3EB8">
        <w:t>:</w:t>
      </w:r>
    </w:p>
    <w:p w14:paraId="5BEA44E8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Ashby, M. P. (2016). Is metal theft committed by organized crime groups, and why does it matter?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Criminology &amp; Criminal Justice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16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>(2), 141–157. https://doi.org/10.1177/1748895815603777</w:t>
      </w:r>
    </w:p>
    <w:p w14:paraId="456255DE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Calderoni, F. (2014). Mythical numbers and the proceeds of organised crime: Estimating mafia proceeds in Italy.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eastAsia="en-GB"/>
        </w:rPr>
        <w:t>Global Crime</w:t>
      </w:r>
      <w:r w:rsidRPr="00396F69">
        <w:rPr>
          <w:rFonts w:ascii="Times" w:eastAsia="Times New Roman" w:hAnsi="Times" w:cs="Times"/>
          <w:bCs/>
          <w:sz w:val="18"/>
          <w:szCs w:val="18"/>
          <w:lang w:eastAsia="en-GB"/>
        </w:rPr>
        <w:t xml:space="preserve">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eastAsia="en-GB"/>
        </w:rPr>
        <w:t>15</w:t>
      </w:r>
      <w:r w:rsidRPr="00396F69">
        <w:rPr>
          <w:rFonts w:ascii="Times" w:eastAsia="Times New Roman" w:hAnsi="Times" w:cs="Times"/>
          <w:bCs/>
          <w:sz w:val="18"/>
          <w:szCs w:val="18"/>
          <w:lang w:eastAsia="en-GB"/>
        </w:rPr>
        <w:t>(1–2), 138–163. https://doi.org/10.1080/17440572.2014.882778</w:t>
      </w:r>
    </w:p>
    <w:p w14:paraId="6884FA77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eastAsia="en-GB"/>
        </w:rPr>
        <w:lastRenderedPageBreak/>
        <w:t xml:space="preserve">Calderoni, F., Berlusconi, G., Garofalo, L., Giommoni, L., &amp; Sarno, F. (2016). 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The Italian mafias in the world: A systematic assessment of the mobility of criminal groups.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European Journal of Criminology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13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>(4), 413–433. https://doi.org/10.1177/1477370815623570</w:t>
      </w:r>
    </w:p>
    <w:p w14:paraId="508998BF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Campana, P. (2011). Eavesdropping on the Mob: The functional diversification of Mafia activities across territories.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European Journal of Criminology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8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>(3), 213–228.</w:t>
      </w:r>
    </w:p>
    <w:p w14:paraId="49B5B858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Carrapiço, H. (2021). Reflections on transnational organized crime as a security concept. In F. Allum &amp; S. Gilmour (Eds.),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The Routledge Handbook of Transnational Organized Crime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 (2nd ed.). Routledge.</w:t>
      </w:r>
    </w:p>
    <w:p w14:paraId="5B6DE374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Hamilton College. (2020).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Writing Resources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>. Hamilton College. https://www.hamilton.edu//academics/centers/writing/writing-resources</w:t>
      </w:r>
    </w:p>
    <w:p w14:paraId="21BBD107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Kleemans, E. R. (2014). Theoretical perspectives on organized crime. In L. Paoli (Ed.),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The Oxford Handbook of Organized Crime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 (pp. 32–52). Oxford University Press.</w:t>
      </w:r>
    </w:p>
    <w:p w14:paraId="3D4EC4FF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Kruisbergen, E. W., Kleemans, E. R., &amp; Kouwenberg, R. F. (2015). Profitability, Power, or Proximity? Organized Crime Offenders Investing Their Money in Legal Economy.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European Journal on Criminal Policy and Research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21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>(2), 237–256. https://doi.org/10.1007/s10610-014-9263-5</w:t>
      </w:r>
    </w:p>
    <w:p w14:paraId="11E8411B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Labaree, R. V. (2023).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Research Guides: Organizing Your Social Sciences Research Paper: 1. Choosing a Research Problem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>. http://libguides.usc.edu/writingguide/researchproblem</w:t>
      </w:r>
    </w:p>
    <w:p w14:paraId="161673D1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Lavorgna, A. (2019). Cyber-organised crime. A case of moral panic?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Trends in Organized Crime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22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>(4), 357–374. https://doi.org/10.1007/s12117-018-9342-y</w:t>
      </w:r>
    </w:p>
    <w:p w14:paraId="7665C594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Natarajan, M., Zanella, M., &amp; Yu, C. (2015). Classifying the Variety of Drug Trafficking Organizations.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Journal of Drug Issues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45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>(4), 409–430. https://doi.org/10.1177/0022042615603391</w:t>
      </w:r>
    </w:p>
    <w:p w14:paraId="3959C8DC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Paoli, L. (2002). The paradoxes of organized crime.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 xml:space="preserve">Crime, </w:t>
      </w:r>
      <w:proofErr w:type="gramStart"/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Law</w:t>
      </w:r>
      <w:proofErr w:type="gramEnd"/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 xml:space="preserve"> and Social Change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37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>, 51–97.</w:t>
      </w:r>
    </w:p>
    <w:p w14:paraId="447B70C5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Paoli, L. (2016). Towards a Theory of Organized Crime: Some Preliminary Reflections. In G. A. Antonopoulos (Ed.),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Illegal Entrepreneurship, Organized Crime and Social Control: Essays in Honor of Professor Dick Hobbs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 (pp. 3–17). Springer International Publishing. https://doi.org/10.1007/978-3-319-31608-6_1</w:t>
      </w:r>
    </w:p>
    <w:p w14:paraId="4EA20F08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Paoli, L., &amp; Fijnaut, C. (2004). Introduction to Part I: The History of the Concept. In C. Fijnaut &amp; L. Paoli (Eds.),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 xml:space="preserve">Organised crime in Europe: Concepts, </w:t>
      </w:r>
      <w:proofErr w:type="gramStart"/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patterns</w:t>
      </w:r>
      <w:proofErr w:type="gramEnd"/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 xml:space="preserve"> and control policies in the European Union and beyond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 (pp. 21–46). Springer.</w:t>
      </w:r>
    </w:p>
    <w:p w14:paraId="3A277B1A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Reuter, P. (2014). Drug markets and organized crime. In L. Paoli (Ed.),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The Oxford Handbook of Organized Crime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 (pp. 359–380). Oxford University Press.</w:t>
      </w:r>
    </w:p>
    <w:p w14:paraId="17AA5C14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Tripp, T. M., &amp; McMahon-Howard, J. (2016). Perception vs. Reality: The Relationship Between Organized Crime and Human Trafficking in Metropolitan Atlanta.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American Journal of Criminal Justice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41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>(4), 732–764. https://doi.org/10.1007/s12103-015-9315-5</w:t>
      </w:r>
    </w:p>
    <w:p w14:paraId="7D9B379D" w14:textId="77777777" w:rsidR="00396F69" w:rsidRPr="00396F69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val="en-US"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Varese, F. (2014). Protection and extortion. In L. Paoli (Ed.),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The Oxford Handbook of Organized Crime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 (pp. 343–358). Oxford University Press.</w:t>
      </w:r>
    </w:p>
    <w:p w14:paraId="275311FF" w14:textId="46B185C2" w:rsidR="00396F69" w:rsidRPr="0076120B" w:rsidRDefault="00396F69" w:rsidP="00396F69">
      <w:pPr>
        <w:pStyle w:val="Bibliografia"/>
        <w:ind w:left="284" w:hanging="284"/>
        <w:rPr>
          <w:rFonts w:ascii="Times" w:eastAsia="Times New Roman" w:hAnsi="Times" w:cs="Times"/>
          <w:bCs/>
          <w:sz w:val="18"/>
          <w:szCs w:val="18"/>
          <w:lang w:eastAsia="en-GB"/>
        </w:rPr>
      </w:pP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lastRenderedPageBreak/>
        <w:t xml:space="preserve">Woodiwiss, M. (2003). Transnational Organized Crime: The Strange Career of an American Concept. In M. E. Beare (Ed.), </w:t>
      </w:r>
      <w:r w:rsidRPr="00396F69">
        <w:rPr>
          <w:rFonts w:ascii="Times" w:eastAsia="Times New Roman" w:hAnsi="Times" w:cs="Times"/>
          <w:bCs/>
          <w:i/>
          <w:iCs/>
          <w:sz w:val="18"/>
          <w:szCs w:val="18"/>
          <w:lang w:val="en-US" w:eastAsia="en-GB"/>
        </w:rPr>
        <w:t>Critical reflections on transnational organized crime, money laundering and corruption</w:t>
      </w:r>
      <w:r w:rsidRPr="00396F69">
        <w:rPr>
          <w:rFonts w:ascii="Times" w:eastAsia="Times New Roman" w:hAnsi="Times" w:cs="Times"/>
          <w:bCs/>
          <w:sz w:val="18"/>
          <w:szCs w:val="18"/>
          <w:lang w:val="en-US" w:eastAsia="en-GB"/>
        </w:rPr>
        <w:t xml:space="preserve"> (pp. 3–34). </w:t>
      </w:r>
      <w:r w:rsidRPr="00396F69">
        <w:rPr>
          <w:rFonts w:ascii="Times" w:eastAsia="Times New Roman" w:hAnsi="Times" w:cs="Times"/>
          <w:bCs/>
          <w:sz w:val="18"/>
          <w:szCs w:val="18"/>
          <w:lang w:eastAsia="en-GB"/>
        </w:rPr>
        <w:t>University of Toronto Press.</w:t>
      </w:r>
    </w:p>
    <w:p w14:paraId="315E3592" w14:textId="47E710E6" w:rsidR="002105A8" w:rsidRPr="00330C13" w:rsidRDefault="002105A8" w:rsidP="00637BE8">
      <w:pPr>
        <w:pStyle w:val="Testo1"/>
        <w:spacing w:before="240" w:after="120"/>
        <w:rPr>
          <w:b/>
          <w:i/>
        </w:rPr>
      </w:pPr>
      <w:r w:rsidRPr="00330C13">
        <w:rPr>
          <w:b/>
          <w:i/>
        </w:rPr>
        <w:t>DIDATTICA DEL CORSO</w:t>
      </w:r>
    </w:p>
    <w:p w14:paraId="0639F537" w14:textId="77777777" w:rsidR="002105A8" w:rsidRPr="00330C13" w:rsidRDefault="002105A8" w:rsidP="00330C13">
      <w:pPr>
        <w:pStyle w:val="Testo2"/>
      </w:pPr>
      <w:r w:rsidRPr="00330C13">
        <w:t xml:space="preserve">Lezioni </w:t>
      </w:r>
      <w:r w:rsidR="00A672A3" w:rsidRPr="00330C13">
        <w:t xml:space="preserve">frontali in aula; </w:t>
      </w:r>
      <w:r w:rsidRPr="00330C13">
        <w:t xml:space="preserve">preparazione, presentazione e discussione della letteratura </w:t>
      </w:r>
      <w:r w:rsidR="00ED2D3F" w:rsidRPr="00330C13">
        <w:t>scientifica guidata</w:t>
      </w:r>
      <w:r w:rsidR="00A672A3" w:rsidRPr="00330C13">
        <w:t xml:space="preserve"> dal docente;</w:t>
      </w:r>
      <w:r w:rsidRPr="00330C13">
        <w:t xml:space="preserve"> elaborazione di un </w:t>
      </w:r>
      <w:r w:rsidR="00A672A3" w:rsidRPr="00330C13">
        <w:t>saggio</w:t>
      </w:r>
      <w:r w:rsidR="00A527C9" w:rsidRPr="00330C13">
        <w:t xml:space="preserve"> argomentativo</w:t>
      </w:r>
      <w:r w:rsidRPr="00330C13">
        <w:t>.</w:t>
      </w:r>
    </w:p>
    <w:p w14:paraId="7880E3EB" w14:textId="77777777" w:rsidR="002105A8" w:rsidRPr="00330C13" w:rsidRDefault="002105A8" w:rsidP="00330C13">
      <w:pPr>
        <w:pStyle w:val="Testo2"/>
        <w:rPr>
          <w:b/>
          <w:i/>
        </w:rPr>
      </w:pPr>
      <w:r w:rsidRPr="00330C13">
        <w:t>Ad eccezione della lezione introduttiva, il corso è tenuto in lingua inglese.</w:t>
      </w:r>
    </w:p>
    <w:p w14:paraId="03B49D45" w14:textId="77777777" w:rsidR="002105A8" w:rsidRPr="00330C13" w:rsidRDefault="002105A8" w:rsidP="00330C13">
      <w:pPr>
        <w:keepNext/>
        <w:spacing w:before="240" w:after="120" w:line="220" w:lineRule="exact"/>
        <w:rPr>
          <w:b/>
          <w:i/>
          <w:sz w:val="18"/>
        </w:rPr>
      </w:pPr>
      <w:r w:rsidRPr="00330C13">
        <w:rPr>
          <w:b/>
          <w:i/>
          <w:sz w:val="18"/>
        </w:rPr>
        <w:t xml:space="preserve">METODO </w:t>
      </w:r>
      <w:r w:rsidR="0025399E" w:rsidRPr="00330C13">
        <w:rPr>
          <w:b/>
          <w:i/>
          <w:sz w:val="18"/>
        </w:rPr>
        <w:t xml:space="preserve">E CRITERI </w:t>
      </w:r>
      <w:r w:rsidRPr="00330C13">
        <w:rPr>
          <w:b/>
          <w:i/>
          <w:sz w:val="18"/>
        </w:rPr>
        <w:t>DI VALUTAZIONE</w:t>
      </w:r>
    </w:p>
    <w:p w14:paraId="2468D4DD" w14:textId="77777777" w:rsidR="007911B1" w:rsidRDefault="00642E90" w:rsidP="00330C13">
      <w:pPr>
        <w:pStyle w:val="Testo2"/>
      </w:pPr>
      <w:r>
        <w:t xml:space="preserve">Il modulo </w:t>
      </w:r>
      <w:r w:rsidR="007911B1">
        <w:t xml:space="preserve">prevede un sistema di valutazione con tre modalità alternative. </w:t>
      </w:r>
    </w:p>
    <w:p w14:paraId="796018AA" w14:textId="7AC2FAF2" w:rsidR="007911B1" w:rsidRDefault="0090538B" w:rsidP="00236A67">
      <w:pPr>
        <w:pStyle w:val="Testo2"/>
        <w:numPr>
          <w:ilvl w:val="0"/>
          <w:numId w:val="11"/>
        </w:numPr>
      </w:pPr>
      <w:r>
        <w:t xml:space="preserve">0-12 punti conseguiti mediante una </w:t>
      </w:r>
      <w:r w:rsidR="00642E90">
        <w:t>valutazione continua</w:t>
      </w:r>
      <w:r>
        <w:t xml:space="preserve"> effettuata durante le lezioni</w:t>
      </w:r>
      <w:r w:rsidR="00642E90">
        <w:t>, che comprenderà domande a risposta multipla</w:t>
      </w:r>
      <w:r w:rsidR="007B56CD">
        <w:t>,</w:t>
      </w:r>
      <w:r w:rsidR="00642E90">
        <w:t xml:space="preserve"> </w:t>
      </w:r>
      <w:r w:rsidR="007B56CD">
        <w:t>e/</w:t>
      </w:r>
      <w:r w:rsidR="00642E90">
        <w:t>o brevi risposte aperte</w:t>
      </w:r>
      <w:r w:rsidR="007B56CD">
        <w:t>, e/o una valutazione della partecipazione alla discussione</w:t>
      </w:r>
      <w:r>
        <w:t xml:space="preserve">. 0-24 punti conseguiti mediante </w:t>
      </w:r>
      <w:r w:rsidR="00642E90">
        <w:t>l’elaborazione di un paper</w:t>
      </w:r>
      <w:r>
        <w:t xml:space="preserve"> da consegnare entro la sessione di esami di giugno-luglio</w:t>
      </w:r>
      <w:r w:rsidR="005A3D27">
        <w:t xml:space="preserve">. </w:t>
      </w:r>
    </w:p>
    <w:p w14:paraId="0D0818C1" w14:textId="77777777" w:rsidR="0090538B" w:rsidRPr="0090538B" w:rsidRDefault="001C0D3B" w:rsidP="00952B89">
      <w:pPr>
        <w:pStyle w:val="Testo2"/>
        <w:numPr>
          <w:ilvl w:val="0"/>
          <w:numId w:val="11"/>
        </w:numPr>
      </w:pPr>
      <w:r w:rsidRPr="00330C13">
        <w:t xml:space="preserve">Per gli studenti </w:t>
      </w:r>
      <w:r w:rsidR="00D65719" w:rsidRPr="0090538B">
        <w:rPr>
          <w:iCs/>
        </w:rPr>
        <w:t>che</w:t>
      </w:r>
    </w:p>
    <w:p w14:paraId="5D7055AB" w14:textId="77777777" w:rsidR="0090538B" w:rsidRDefault="00D65719" w:rsidP="0090538B">
      <w:pPr>
        <w:pStyle w:val="Testo2"/>
        <w:numPr>
          <w:ilvl w:val="1"/>
          <w:numId w:val="11"/>
        </w:numPr>
      </w:pPr>
      <w:r w:rsidRPr="0090538B">
        <w:rPr>
          <w:iCs/>
        </w:rPr>
        <w:t>hanno partecipato</w:t>
      </w:r>
      <w:r w:rsidRPr="0090538B">
        <w:rPr>
          <w:i/>
        </w:rPr>
        <w:t xml:space="preserve"> </w:t>
      </w:r>
      <w:r w:rsidR="001C0D3B" w:rsidRPr="00330C13">
        <w:t>ad almeno l’80% delle ore di lezione</w:t>
      </w:r>
      <w:r w:rsidR="0090538B">
        <w:t xml:space="preserve">, </w:t>
      </w:r>
    </w:p>
    <w:p w14:paraId="654BFE94" w14:textId="77777777" w:rsidR="0090538B" w:rsidRDefault="001C0D3B" w:rsidP="0090538B">
      <w:pPr>
        <w:pStyle w:val="Testo2"/>
        <w:numPr>
          <w:ilvl w:val="1"/>
          <w:numId w:val="11"/>
        </w:numPr>
      </w:pPr>
      <w:r w:rsidRPr="00330C13">
        <w:t xml:space="preserve">che consegnano il paper entro </w:t>
      </w:r>
      <w:r w:rsidR="002518D4" w:rsidRPr="00330C13">
        <w:t xml:space="preserve">la </w:t>
      </w:r>
      <w:r w:rsidRPr="00330C13">
        <w:t>scadenza indicata a inizio corso</w:t>
      </w:r>
      <w:r w:rsidR="0090538B">
        <w:t xml:space="preserve">, </w:t>
      </w:r>
    </w:p>
    <w:p w14:paraId="52EA878B" w14:textId="77777777" w:rsidR="0090538B" w:rsidRDefault="0090538B" w:rsidP="0090538B">
      <w:pPr>
        <w:pStyle w:val="Testo2"/>
        <w:numPr>
          <w:ilvl w:val="1"/>
          <w:numId w:val="11"/>
        </w:numPr>
      </w:pPr>
      <w:r>
        <w:t>che sostengono la prova entro la sessione di esami di giugno-luglio</w:t>
      </w:r>
      <w:r w:rsidR="001C0D3B" w:rsidRPr="00330C13">
        <w:t xml:space="preserve">: </w:t>
      </w:r>
    </w:p>
    <w:p w14:paraId="1B1C4BEA" w14:textId="7E467CB5" w:rsidR="0090538B" w:rsidRDefault="0090538B" w:rsidP="0090538B">
      <w:pPr>
        <w:pStyle w:val="Testo2"/>
        <w:ind w:left="644" w:firstLine="0"/>
      </w:pPr>
      <w:r>
        <w:t>0-24 punti conseguiti mediante l’elaborazione di un paper.</w:t>
      </w:r>
      <w:r w:rsidRPr="00330C13">
        <w:t xml:space="preserve"> </w:t>
      </w:r>
      <w:r>
        <w:t>0-12 conseguiti</w:t>
      </w:r>
      <w:r w:rsidR="001C0D3B" w:rsidRPr="00330C13">
        <w:t xml:space="preserve"> </w:t>
      </w:r>
      <w:r>
        <w:t xml:space="preserve">mediante </w:t>
      </w:r>
      <w:r w:rsidR="001C0D3B" w:rsidRPr="00330C13">
        <w:t xml:space="preserve">breve </w:t>
      </w:r>
      <w:r w:rsidR="00DD55C3">
        <w:t>prova</w:t>
      </w:r>
      <w:r w:rsidR="001C0D3B" w:rsidRPr="00330C13">
        <w:t xml:space="preserve"> orale finale</w:t>
      </w:r>
      <w:r w:rsidR="00A672A3" w:rsidRPr="00330C13">
        <w:t xml:space="preserve"> di circa 10</w:t>
      </w:r>
      <w:r w:rsidR="00910251" w:rsidRPr="00330C13">
        <w:t xml:space="preserve"> minuti</w:t>
      </w:r>
      <w:r w:rsidR="001C0D3B" w:rsidRPr="00330C13">
        <w:t>.</w:t>
      </w:r>
    </w:p>
    <w:p w14:paraId="40B7988D" w14:textId="2A177CAF" w:rsidR="001C0D3B" w:rsidRPr="00330C13" w:rsidRDefault="001C0D3B" w:rsidP="00952B89">
      <w:pPr>
        <w:pStyle w:val="Testo2"/>
        <w:numPr>
          <w:ilvl w:val="0"/>
          <w:numId w:val="11"/>
        </w:numPr>
      </w:pPr>
      <w:r w:rsidRPr="00330C13">
        <w:t xml:space="preserve">Per </w:t>
      </w:r>
      <w:r w:rsidR="00D65719">
        <w:t>tutti gli altri studenti</w:t>
      </w:r>
      <w:r w:rsidRPr="00330C13">
        <w:t xml:space="preserve">: </w:t>
      </w:r>
      <w:r w:rsidR="0090538B">
        <w:t>0-24 punti conseguiti mediante l’elaborazione di un paper.</w:t>
      </w:r>
      <w:r w:rsidR="0090538B" w:rsidRPr="00330C13">
        <w:t xml:space="preserve"> </w:t>
      </w:r>
      <w:r w:rsidR="0090538B">
        <w:t>0-12 conseguiti</w:t>
      </w:r>
      <w:r w:rsidR="0090538B" w:rsidRPr="00330C13">
        <w:t xml:space="preserve"> </w:t>
      </w:r>
      <w:r w:rsidR="0090538B">
        <w:t>mediante</w:t>
      </w:r>
      <w:r w:rsidRPr="00330C13">
        <w:t xml:space="preserve"> </w:t>
      </w:r>
      <w:r w:rsidR="00DD55C3">
        <w:t>prova</w:t>
      </w:r>
      <w:r w:rsidRPr="00330C13">
        <w:t xml:space="preserve"> scritt</w:t>
      </w:r>
      <w:r w:rsidR="00DD55C3">
        <w:t>a</w:t>
      </w:r>
      <w:r w:rsidRPr="00330C13">
        <w:t xml:space="preserve"> in blackboard</w:t>
      </w:r>
      <w:r w:rsidR="0090538B">
        <w:t xml:space="preserve"> con </w:t>
      </w:r>
      <w:r w:rsidR="002267F2" w:rsidRPr="00330C13">
        <w:t xml:space="preserve">risposta a quattro domande a risposta aperta. </w:t>
      </w:r>
      <w:r w:rsidR="00910251" w:rsidRPr="00330C13">
        <w:t xml:space="preserve">Ogni domanda sarà valutata da 0 a 3 punti. </w:t>
      </w:r>
    </w:p>
    <w:p w14:paraId="00B001DE" w14:textId="77777777" w:rsidR="007911B1" w:rsidRDefault="007911B1" w:rsidP="00330C13">
      <w:pPr>
        <w:pStyle w:val="Testo2"/>
      </w:pPr>
      <w:r>
        <w:t>I</w:t>
      </w:r>
      <w:r w:rsidRPr="007911B1">
        <w:t xml:space="preserve"> punteggi superiori a 30 corrispondono a un voto di 30 e lode. </w:t>
      </w:r>
    </w:p>
    <w:p w14:paraId="41D1A379" w14:textId="73939B0C" w:rsidR="001C0D3B" w:rsidRPr="00330C13" w:rsidRDefault="007911B1" w:rsidP="00330C13">
      <w:pPr>
        <w:pStyle w:val="Testo2"/>
      </w:pPr>
      <w:r w:rsidRPr="007911B1">
        <w:t>Sia per la prova orale che per la prova scritta, le possibili domande saranno preventivamente comunicate via blackboard.</w:t>
      </w:r>
    </w:p>
    <w:p w14:paraId="227927B5" w14:textId="62A744B8" w:rsidR="002518D4" w:rsidRPr="00330C13" w:rsidRDefault="007911B1" w:rsidP="00330C13">
      <w:pPr>
        <w:pStyle w:val="Testo2"/>
      </w:pPr>
      <w:r w:rsidRPr="007911B1">
        <w:t xml:space="preserve">Il voto finale dell'insegnamento sarà determinato dalla media aritmetica dei voti conseguiti nei </w:t>
      </w:r>
      <w:r>
        <w:t>due</w:t>
      </w:r>
      <w:r w:rsidRPr="007911B1">
        <w:t xml:space="preserve"> moduli, a condizione che in </w:t>
      </w:r>
      <w:r>
        <w:t>entrambi</w:t>
      </w:r>
      <w:r w:rsidRPr="007911B1">
        <w:t xml:space="preserve"> si sia riportato un voto pari o superiore a 18. A tal fine, 30 e lode corrisponde a 31. La media sarà arrotondata </w:t>
      </w:r>
      <w:r>
        <w:t xml:space="preserve">per eccesso. </w:t>
      </w:r>
    </w:p>
    <w:p w14:paraId="1CF520ED" w14:textId="77777777" w:rsidR="002105A8" w:rsidRPr="00330C13" w:rsidRDefault="002105A8" w:rsidP="00330C13">
      <w:pPr>
        <w:spacing w:before="240" w:after="120" w:line="240" w:lineRule="exact"/>
        <w:rPr>
          <w:b/>
          <w:i/>
          <w:sz w:val="18"/>
        </w:rPr>
      </w:pPr>
      <w:r w:rsidRPr="00330C13">
        <w:rPr>
          <w:b/>
          <w:i/>
          <w:sz w:val="18"/>
        </w:rPr>
        <w:t>AVVERTENZE</w:t>
      </w:r>
      <w:r w:rsidR="0054326E" w:rsidRPr="00330C13">
        <w:rPr>
          <w:b/>
          <w:i/>
          <w:sz w:val="18"/>
        </w:rPr>
        <w:t xml:space="preserve"> E PREREQUISITI</w:t>
      </w:r>
    </w:p>
    <w:p w14:paraId="5B3824AB" w14:textId="273FDC47" w:rsidR="00396F69" w:rsidRDefault="002105A8" w:rsidP="00396F69">
      <w:pPr>
        <w:pStyle w:val="Testo2"/>
      </w:pPr>
      <w:r w:rsidRPr="00330C13">
        <w:t xml:space="preserve">La frequenza è altamente consigliata. </w:t>
      </w:r>
      <w:r w:rsidR="00396F69">
        <w:t>Il programma aggiornato, la bibliografia, le istruzioni e altri documenti saranno pubblicati sulla pagina Blackboard del modulo. Inoltre, la Blackboard sarà utilizzata per comunicare eventuali cambiamenti di orario, informazioni sugli esami e altre segnalazioni importanti. Tutti gli studenti, sia frequentanti che non, in corso o fuori corso, sono invitati ad iscriversi al corso in Blackboard e a tenersi costantemente aggiornati.</w:t>
      </w:r>
    </w:p>
    <w:p w14:paraId="13E39049" w14:textId="065BA51A" w:rsidR="00396F69" w:rsidRDefault="00396F69" w:rsidP="00396F69">
      <w:pPr>
        <w:pStyle w:val="Testo2"/>
      </w:pPr>
      <w:r>
        <w:t xml:space="preserve">Ogni anno il programma è aggiornato per tenere il passo con gli sviluppi e le innovazioni riguardanti i temi del modulo. Per questo motivo, gli studenti che non superano l'esame entro gli otto appelli previsti (da giugno a febbraio dell'anno successivo a quello di frequenza) </w:t>
      </w:r>
      <w:r>
        <w:lastRenderedPageBreak/>
        <w:t>dovranno attenersi al programma e alle modalità di esame del corso erogato nell'anno accademico successivo.</w:t>
      </w:r>
    </w:p>
    <w:p w14:paraId="58FC3321" w14:textId="77777777" w:rsidR="00B87694" w:rsidRDefault="00396F69" w:rsidP="00B87694">
      <w:pPr>
        <w:pStyle w:val="Testo2"/>
      </w:pPr>
      <w:r>
        <w:t>Il modulo richiede una conoscenza di base delle teorie sociologiche della devianza e della criminologia, generalmente acquisite durante il corso di laurea triennale o tramite insegnamenti del primo semestre. Inoltre, è richiesta una buona competenza nella scrittura argomentativa, normalmente acquisita durante gli studi precedenti o mediante un seminario dedicato del primo semestre. È anche utile essere in grado di utilizzare il sistema bibliotecario e i cataloghi di ricerca bibliografica.</w:t>
      </w:r>
    </w:p>
    <w:p w14:paraId="525E1F9B" w14:textId="512A25E2" w:rsidR="002105A8" w:rsidRPr="00B87694" w:rsidRDefault="002105A8" w:rsidP="00B87694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B87694">
        <w:rPr>
          <w:rFonts w:ascii="Times New Roman" w:hAnsi="Times New Roman"/>
          <w:i/>
          <w:szCs w:val="18"/>
        </w:rPr>
        <w:t>Orario e luogo di ricevimento</w:t>
      </w:r>
    </w:p>
    <w:p w14:paraId="7FEF4FF3" w14:textId="69FA12DF" w:rsidR="002105A8" w:rsidRPr="00330C13" w:rsidRDefault="002105A8" w:rsidP="00330C13">
      <w:pPr>
        <w:pStyle w:val="Testo2"/>
      </w:pPr>
      <w:r w:rsidRPr="00330C13">
        <w:t xml:space="preserve">Il Prof. Francesco Calderoni riceve gli studenti su appuntamento </w:t>
      </w:r>
      <w:r w:rsidR="00F13544" w:rsidRPr="00F13544">
        <w:t xml:space="preserve">in remoto o in presenza </w:t>
      </w:r>
      <w:r w:rsidRPr="00330C13">
        <w:t>presso gli uffici di TRANSCRIME (</w:t>
      </w:r>
      <w:r w:rsidR="00696916" w:rsidRPr="00330C13">
        <w:t xml:space="preserve">Via </w:t>
      </w:r>
      <w:r w:rsidR="00DB5731" w:rsidRPr="00330C13">
        <w:t>S. Vittore 43</w:t>
      </w:r>
      <w:r w:rsidRPr="00330C13">
        <w:t xml:space="preserve">, piano </w:t>
      </w:r>
      <w:r w:rsidR="00DB5731" w:rsidRPr="00330C13">
        <w:t>interrato</w:t>
      </w:r>
      <w:r w:rsidRPr="00330C13">
        <w:t>). Per appuntamento indirizzare</w:t>
      </w:r>
      <w:r w:rsidR="00EE2320">
        <w:t xml:space="preserve"> una</w:t>
      </w:r>
      <w:r w:rsidRPr="00330C13">
        <w:t xml:space="preserve"> e-mail a: </w:t>
      </w:r>
      <w:r w:rsidR="00F13544" w:rsidRPr="002B5150">
        <w:rPr>
          <w:i/>
        </w:rPr>
        <w:t>francesco.calderoni@unicatt.it</w:t>
      </w:r>
      <w:r w:rsidR="00F13544">
        <w:t>.</w:t>
      </w:r>
    </w:p>
    <w:sectPr w:rsidR="002105A8" w:rsidRPr="00330C13" w:rsidSect="004B028C">
      <w:pgSz w:w="11906" w:h="16838" w:code="9"/>
      <w:pgMar w:top="3686" w:right="2608" w:bottom="3402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FCA6" w14:textId="77777777" w:rsidR="00673CA6" w:rsidRDefault="00673CA6" w:rsidP="00DB16A6">
      <w:pPr>
        <w:spacing w:line="240" w:lineRule="auto"/>
      </w:pPr>
      <w:r>
        <w:separator/>
      </w:r>
    </w:p>
  </w:endnote>
  <w:endnote w:type="continuationSeparator" w:id="0">
    <w:p w14:paraId="6C0770E0" w14:textId="77777777" w:rsidR="00673CA6" w:rsidRDefault="00673CA6" w:rsidP="00DB1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BE98" w14:textId="77777777" w:rsidR="00673CA6" w:rsidRDefault="00673CA6" w:rsidP="00DB16A6">
      <w:pPr>
        <w:spacing w:line="240" w:lineRule="auto"/>
      </w:pPr>
      <w:r>
        <w:separator/>
      </w:r>
    </w:p>
  </w:footnote>
  <w:footnote w:type="continuationSeparator" w:id="0">
    <w:p w14:paraId="00308FA3" w14:textId="77777777" w:rsidR="00673CA6" w:rsidRDefault="00673CA6" w:rsidP="00DB16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07A"/>
    <w:multiLevelType w:val="hybridMultilevel"/>
    <w:tmpl w:val="D5164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BC8"/>
    <w:multiLevelType w:val="hybridMultilevel"/>
    <w:tmpl w:val="A042ACA2"/>
    <w:lvl w:ilvl="0" w:tplc="2206943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2044"/>
    <w:multiLevelType w:val="hybridMultilevel"/>
    <w:tmpl w:val="18BC4180"/>
    <w:lvl w:ilvl="0" w:tplc="569AEB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476E9C"/>
    <w:multiLevelType w:val="hybridMultilevel"/>
    <w:tmpl w:val="3DC062FC"/>
    <w:lvl w:ilvl="0" w:tplc="871E163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E710C"/>
    <w:multiLevelType w:val="hybridMultilevel"/>
    <w:tmpl w:val="304AFE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C3CA2"/>
    <w:multiLevelType w:val="hybridMultilevel"/>
    <w:tmpl w:val="9D429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617E"/>
    <w:multiLevelType w:val="hybridMultilevel"/>
    <w:tmpl w:val="EA704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1C7028"/>
    <w:multiLevelType w:val="hybridMultilevel"/>
    <w:tmpl w:val="0F44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51C41"/>
    <w:multiLevelType w:val="hybridMultilevel"/>
    <w:tmpl w:val="537E6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E7B09"/>
    <w:multiLevelType w:val="multilevel"/>
    <w:tmpl w:val="94CE1A2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3D92E1C"/>
    <w:multiLevelType w:val="hybridMultilevel"/>
    <w:tmpl w:val="67A8F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114A3"/>
    <w:multiLevelType w:val="hybridMultilevel"/>
    <w:tmpl w:val="B5CC06DE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944220402">
    <w:abstractNumId w:val="4"/>
  </w:num>
  <w:num w:numId="2" w16cid:durableId="9795541">
    <w:abstractNumId w:val="12"/>
  </w:num>
  <w:num w:numId="3" w16cid:durableId="1473866146">
    <w:abstractNumId w:val="8"/>
  </w:num>
  <w:num w:numId="4" w16cid:durableId="2136556735">
    <w:abstractNumId w:val="10"/>
  </w:num>
  <w:num w:numId="5" w16cid:durableId="1666400682">
    <w:abstractNumId w:val="1"/>
  </w:num>
  <w:num w:numId="6" w16cid:durableId="633171334">
    <w:abstractNumId w:val="7"/>
  </w:num>
  <w:num w:numId="7" w16cid:durableId="2041126315">
    <w:abstractNumId w:val="6"/>
  </w:num>
  <w:num w:numId="8" w16cid:durableId="969169801">
    <w:abstractNumId w:val="9"/>
  </w:num>
  <w:num w:numId="9" w16cid:durableId="45878317">
    <w:abstractNumId w:val="0"/>
  </w:num>
  <w:num w:numId="10" w16cid:durableId="597642697">
    <w:abstractNumId w:val="5"/>
  </w:num>
  <w:num w:numId="11" w16cid:durableId="963653504">
    <w:abstractNumId w:val="2"/>
  </w:num>
  <w:num w:numId="12" w16cid:durableId="246379737">
    <w:abstractNumId w:val="3"/>
  </w:num>
  <w:num w:numId="13" w16cid:durableId="15165785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tDQzNTYxMLM0MTRR0lEKTi0uzszPAykwqgUANQ9+SSwAAAA="/>
  </w:docVars>
  <w:rsids>
    <w:rsidRoot w:val="002105A8"/>
    <w:rsid w:val="00023637"/>
    <w:rsid w:val="00024A28"/>
    <w:rsid w:val="00050080"/>
    <w:rsid w:val="00062C01"/>
    <w:rsid w:val="000B7DB6"/>
    <w:rsid w:val="000C37B5"/>
    <w:rsid w:val="000E0334"/>
    <w:rsid w:val="000E3EB8"/>
    <w:rsid w:val="00111297"/>
    <w:rsid w:val="00114979"/>
    <w:rsid w:val="00123D1C"/>
    <w:rsid w:val="00162BBE"/>
    <w:rsid w:val="001646D8"/>
    <w:rsid w:val="001A18F5"/>
    <w:rsid w:val="001C0D3B"/>
    <w:rsid w:val="001D6C28"/>
    <w:rsid w:val="001E7847"/>
    <w:rsid w:val="002105A8"/>
    <w:rsid w:val="002128C4"/>
    <w:rsid w:val="002267F2"/>
    <w:rsid w:val="002516F8"/>
    <w:rsid w:val="002518D4"/>
    <w:rsid w:val="0025399E"/>
    <w:rsid w:val="00254B23"/>
    <w:rsid w:val="00277748"/>
    <w:rsid w:val="002940D8"/>
    <w:rsid w:val="002A5394"/>
    <w:rsid w:val="002B4782"/>
    <w:rsid w:val="002B5150"/>
    <w:rsid w:val="002E229D"/>
    <w:rsid w:val="002F306D"/>
    <w:rsid w:val="002F4AEF"/>
    <w:rsid w:val="003259FF"/>
    <w:rsid w:val="00325EF7"/>
    <w:rsid w:val="00330C13"/>
    <w:rsid w:val="00342D93"/>
    <w:rsid w:val="00345B0F"/>
    <w:rsid w:val="003536E2"/>
    <w:rsid w:val="00396F69"/>
    <w:rsid w:val="003C0CA5"/>
    <w:rsid w:val="00416BB9"/>
    <w:rsid w:val="00431114"/>
    <w:rsid w:val="004605FE"/>
    <w:rsid w:val="00461906"/>
    <w:rsid w:val="0049046A"/>
    <w:rsid w:val="004B028C"/>
    <w:rsid w:val="004C3918"/>
    <w:rsid w:val="004D1217"/>
    <w:rsid w:val="004D15EA"/>
    <w:rsid w:val="004D6008"/>
    <w:rsid w:val="004D7567"/>
    <w:rsid w:val="005129A2"/>
    <w:rsid w:val="00531B85"/>
    <w:rsid w:val="0054326E"/>
    <w:rsid w:val="005451B8"/>
    <w:rsid w:val="00550225"/>
    <w:rsid w:val="0057179B"/>
    <w:rsid w:val="0058324C"/>
    <w:rsid w:val="005A3D27"/>
    <w:rsid w:val="005A6838"/>
    <w:rsid w:val="005E4C36"/>
    <w:rsid w:val="00615AA7"/>
    <w:rsid w:val="006348B5"/>
    <w:rsid w:val="00635B46"/>
    <w:rsid w:val="00636B1A"/>
    <w:rsid w:val="00636F60"/>
    <w:rsid w:val="00637BE8"/>
    <w:rsid w:val="00642E90"/>
    <w:rsid w:val="00660C29"/>
    <w:rsid w:val="006659C8"/>
    <w:rsid w:val="00673CA6"/>
    <w:rsid w:val="00696916"/>
    <w:rsid w:val="006A7218"/>
    <w:rsid w:val="006B09A0"/>
    <w:rsid w:val="006D4DB2"/>
    <w:rsid w:val="006E00BA"/>
    <w:rsid w:val="006F1772"/>
    <w:rsid w:val="00716ABC"/>
    <w:rsid w:val="00727D66"/>
    <w:rsid w:val="0076120B"/>
    <w:rsid w:val="00767F50"/>
    <w:rsid w:val="00777346"/>
    <w:rsid w:val="007818E4"/>
    <w:rsid w:val="007911B1"/>
    <w:rsid w:val="007A6CE3"/>
    <w:rsid w:val="007B56CD"/>
    <w:rsid w:val="007C5579"/>
    <w:rsid w:val="007F0A39"/>
    <w:rsid w:val="0082032E"/>
    <w:rsid w:val="00822054"/>
    <w:rsid w:val="00822CCA"/>
    <w:rsid w:val="00827067"/>
    <w:rsid w:val="0083759F"/>
    <w:rsid w:val="008413C4"/>
    <w:rsid w:val="00873D18"/>
    <w:rsid w:val="00892659"/>
    <w:rsid w:val="008C4BC9"/>
    <w:rsid w:val="008D1E60"/>
    <w:rsid w:val="008E4F7C"/>
    <w:rsid w:val="008E5971"/>
    <w:rsid w:val="008F36B1"/>
    <w:rsid w:val="0090538B"/>
    <w:rsid w:val="00910251"/>
    <w:rsid w:val="00910727"/>
    <w:rsid w:val="00932BFF"/>
    <w:rsid w:val="00940DA2"/>
    <w:rsid w:val="009E27B4"/>
    <w:rsid w:val="009F087D"/>
    <w:rsid w:val="009F5C7A"/>
    <w:rsid w:val="00A23949"/>
    <w:rsid w:val="00A527C9"/>
    <w:rsid w:val="00A672A3"/>
    <w:rsid w:val="00A72C99"/>
    <w:rsid w:val="00A76871"/>
    <w:rsid w:val="00AA0437"/>
    <w:rsid w:val="00AA13D2"/>
    <w:rsid w:val="00AA19D1"/>
    <w:rsid w:val="00B057F7"/>
    <w:rsid w:val="00B332B8"/>
    <w:rsid w:val="00B447DE"/>
    <w:rsid w:val="00B53528"/>
    <w:rsid w:val="00B53A05"/>
    <w:rsid w:val="00B8167C"/>
    <w:rsid w:val="00B87694"/>
    <w:rsid w:val="00BA55B2"/>
    <w:rsid w:val="00BB3A27"/>
    <w:rsid w:val="00BC0D84"/>
    <w:rsid w:val="00BC3828"/>
    <w:rsid w:val="00BF26DE"/>
    <w:rsid w:val="00C059E4"/>
    <w:rsid w:val="00C0688A"/>
    <w:rsid w:val="00C14CB6"/>
    <w:rsid w:val="00C211A5"/>
    <w:rsid w:val="00C24957"/>
    <w:rsid w:val="00C41414"/>
    <w:rsid w:val="00C4381A"/>
    <w:rsid w:val="00C52DCE"/>
    <w:rsid w:val="00C56CAF"/>
    <w:rsid w:val="00C73701"/>
    <w:rsid w:val="00C841CB"/>
    <w:rsid w:val="00CA6550"/>
    <w:rsid w:val="00CD3670"/>
    <w:rsid w:val="00CE122C"/>
    <w:rsid w:val="00CE221F"/>
    <w:rsid w:val="00CF010C"/>
    <w:rsid w:val="00CF6DA1"/>
    <w:rsid w:val="00D01821"/>
    <w:rsid w:val="00D02372"/>
    <w:rsid w:val="00D24440"/>
    <w:rsid w:val="00D4326F"/>
    <w:rsid w:val="00D55290"/>
    <w:rsid w:val="00D65719"/>
    <w:rsid w:val="00D85063"/>
    <w:rsid w:val="00DB16A6"/>
    <w:rsid w:val="00DB5731"/>
    <w:rsid w:val="00DD52D9"/>
    <w:rsid w:val="00DD55C3"/>
    <w:rsid w:val="00ED2D3F"/>
    <w:rsid w:val="00ED7E14"/>
    <w:rsid w:val="00EE2320"/>
    <w:rsid w:val="00F01A04"/>
    <w:rsid w:val="00F06B8D"/>
    <w:rsid w:val="00F13544"/>
    <w:rsid w:val="00F301CF"/>
    <w:rsid w:val="00F3115E"/>
    <w:rsid w:val="00F56F31"/>
    <w:rsid w:val="00FC5ABC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26886"/>
  <w15:docId w15:val="{538A58DA-9C9E-4D5C-AC15-8DC8494D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05A8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105A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105A8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2105A8"/>
    <w:pPr>
      <w:spacing w:line="240" w:lineRule="auto"/>
      <w:ind w:left="720"/>
      <w:contextualSpacing/>
    </w:pPr>
    <w:rPr>
      <w:rFonts w:eastAsia="Times New Roman"/>
      <w:szCs w:val="20"/>
      <w:lang w:eastAsia="it-IT"/>
    </w:rPr>
  </w:style>
  <w:style w:type="character" w:styleId="Collegamentoipertestuale">
    <w:name w:val="Hyperlink"/>
    <w:rsid w:val="004D756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B16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6A6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DB16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B16A6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DB1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16A6"/>
    <w:rPr>
      <w:rFonts w:ascii="Tahoma" w:eastAsia="Calibri" w:hAnsi="Tahoma" w:cs="Tahoma"/>
      <w:sz w:val="16"/>
      <w:szCs w:val="16"/>
      <w:lang w:eastAsia="en-US"/>
    </w:rPr>
  </w:style>
  <w:style w:type="paragraph" w:styleId="Bibliografia">
    <w:name w:val="Bibliography"/>
    <w:basedOn w:val="Normale"/>
    <w:next w:val="Normale"/>
    <w:uiPriority w:val="37"/>
    <w:unhideWhenUsed/>
    <w:rsid w:val="00C73701"/>
  </w:style>
  <w:style w:type="paragraph" w:styleId="NormaleWeb">
    <w:name w:val="Normal (Web)"/>
    <w:basedOn w:val="Normale"/>
    <w:uiPriority w:val="99"/>
    <w:unhideWhenUsed/>
    <w:rsid w:val="00D8506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6E2F-A0A5-438D-B351-35502DCA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6</Pages>
  <Words>1923</Words>
  <Characters>11807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2003-03-27T09:42:00Z</cp:lastPrinted>
  <dcterms:created xsi:type="dcterms:W3CDTF">2023-05-08T10:33:00Z</dcterms:created>
  <dcterms:modified xsi:type="dcterms:W3CDTF">2023-05-08T10:33:00Z</dcterms:modified>
</cp:coreProperties>
</file>