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6989" w14:textId="3970D998" w:rsidR="003861F1" w:rsidRPr="009723EF" w:rsidRDefault="003861F1" w:rsidP="003861F1">
      <w:pPr>
        <w:pStyle w:val="Titolo1"/>
        <w:spacing w:line="276" w:lineRule="auto"/>
        <w:rPr>
          <w:rFonts w:ascii="Times New Roman" w:hAnsi="Times New Roman"/>
          <w:sz w:val="18"/>
          <w:szCs w:val="18"/>
        </w:rPr>
      </w:pPr>
      <w:r w:rsidRPr="009723EF">
        <w:rPr>
          <w:rFonts w:ascii="Times New Roman" w:hAnsi="Times New Roman"/>
          <w:sz w:val="18"/>
          <w:szCs w:val="18"/>
        </w:rPr>
        <w:t xml:space="preserve">Attori </w:t>
      </w:r>
      <w:r w:rsidR="00993F75" w:rsidRPr="009723EF">
        <w:rPr>
          <w:rFonts w:ascii="Times New Roman" w:hAnsi="Times New Roman"/>
          <w:sz w:val="18"/>
          <w:szCs w:val="18"/>
        </w:rPr>
        <w:t>del welfare sostenibile</w:t>
      </w:r>
    </w:p>
    <w:p w14:paraId="3C94A3A5" w14:textId="6902AFD7" w:rsidR="003861F1" w:rsidRPr="009723EF" w:rsidRDefault="003861F1" w:rsidP="003861F1">
      <w:pPr>
        <w:pStyle w:val="Titolo2"/>
        <w:spacing w:line="276" w:lineRule="auto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>Prof</w:t>
      </w:r>
      <w:r w:rsidR="00ED6809">
        <w:rPr>
          <w:rFonts w:ascii="Times New Roman" w:hAnsi="Times New Roman"/>
          <w:szCs w:val="18"/>
        </w:rPr>
        <w:t>.</w:t>
      </w:r>
      <w:r w:rsidRPr="009723EF">
        <w:rPr>
          <w:rFonts w:ascii="Times New Roman" w:hAnsi="Times New Roman"/>
          <w:szCs w:val="18"/>
        </w:rPr>
        <w:t xml:space="preserve"> Luca Pesenti</w:t>
      </w:r>
    </w:p>
    <w:p w14:paraId="2D56BE58" w14:textId="77777777" w:rsidR="002D5E17" w:rsidRPr="009723EF" w:rsidRDefault="003861F1" w:rsidP="003861F1">
      <w:pPr>
        <w:spacing w:before="240" w:after="120" w:line="240" w:lineRule="exact"/>
        <w:rPr>
          <w:b/>
          <w:sz w:val="18"/>
          <w:szCs w:val="18"/>
        </w:rPr>
      </w:pPr>
      <w:r w:rsidRPr="009723EF">
        <w:rPr>
          <w:b/>
          <w:i/>
          <w:sz w:val="18"/>
          <w:szCs w:val="18"/>
        </w:rPr>
        <w:t>OBIETTIVO DEL CORSO E RISULTATI DI APPRENDIMENTO ATTESI</w:t>
      </w:r>
    </w:p>
    <w:p w14:paraId="73D101CB" w14:textId="37B1BB20" w:rsidR="003861F1" w:rsidRPr="009723EF" w:rsidRDefault="003861F1" w:rsidP="00232173">
      <w:pPr>
        <w:spacing w:line="240" w:lineRule="exact"/>
        <w:rPr>
          <w:sz w:val="18"/>
          <w:szCs w:val="18"/>
        </w:rPr>
      </w:pPr>
      <w:r w:rsidRPr="009723EF">
        <w:rPr>
          <w:sz w:val="18"/>
          <w:szCs w:val="18"/>
        </w:rPr>
        <w:t>Il corso si propone di introdurre gli studenti all’analisi degli attori</w:t>
      </w:r>
      <w:r w:rsidR="00993F75" w:rsidRPr="009723EF">
        <w:rPr>
          <w:sz w:val="18"/>
          <w:szCs w:val="18"/>
        </w:rPr>
        <w:t xml:space="preserve"> </w:t>
      </w:r>
      <w:r w:rsidRPr="009723EF">
        <w:rPr>
          <w:sz w:val="18"/>
          <w:szCs w:val="18"/>
        </w:rPr>
        <w:t>attivi nella produzione e distribuzione di beni e servizi afferenti all’area del welfare</w:t>
      </w:r>
      <w:r w:rsidR="00AD0807" w:rsidRPr="009723EF">
        <w:rPr>
          <w:sz w:val="18"/>
          <w:szCs w:val="18"/>
        </w:rPr>
        <w:t>,</w:t>
      </w:r>
      <w:r w:rsidR="00232173" w:rsidRPr="009723EF">
        <w:rPr>
          <w:sz w:val="18"/>
          <w:szCs w:val="18"/>
        </w:rPr>
        <w:t xml:space="preserve"> </w:t>
      </w:r>
      <w:r w:rsidR="00AD0807" w:rsidRPr="009723EF">
        <w:rPr>
          <w:sz w:val="18"/>
          <w:szCs w:val="18"/>
        </w:rPr>
        <w:t>a</w:t>
      </w:r>
      <w:r w:rsidRPr="009723EF">
        <w:rPr>
          <w:sz w:val="18"/>
          <w:szCs w:val="18"/>
        </w:rPr>
        <w:t xml:space="preserve">ll’interno di un </w:t>
      </w:r>
      <w:r w:rsidRPr="009723EF">
        <w:rPr>
          <w:i/>
          <w:sz w:val="18"/>
          <w:szCs w:val="18"/>
        </w:rPr>
        <w:t>framework</w:t>
      </w:r>
      <w:r w:rsidRPr="009723EF">
        <w:rPr>
          <w:sz w:val="18"/>
          <w:szCs w:val="18"/>
        </w:rPr>
        <w:t xml:space="preserve"> teorico orientato all’analisi del welfare </w:t>
      </w:r>
      <w:r w:rsidR="00AD0807" w:rsidRPr="009723EF">
        <w:rPr>
          <w:sz w:val="18"/>
          <w:szCs w:val="18"/>
        </w:rPr>
        <w:t>mix.</w:t>
      </w:r>
      <w:r w:rsidRPr="009723EF">
        <w:rPr>
          <w:sz w:val="18"/>
          <w:szCs w:val="18"/>
        </w:rPr>
        <w:t xml:space="preserve"> </w:t>
      </w:r>
      <w:r w:rsidR="00AD0807" w:rsidRPr="009723EF">
        <w:rPr>
          <w:sz w:val="18"/>
          <w:szCs w:val="18"/>
        </w:rPr>
        <w:t>I</w:t>
      </w:r>
      <w:r w:rsidRPr="009723EF">
        <w:rPr>
          <w:sz w:val="18"/>
          <w:szCs w:val="18"/>
        </w:rPr>
        <w:t>l corso intende</w:t>
      </w:r>
      <w:r w:rsidR="00AD0807" w:rsidRPr="009723EF">
        <w:rPr>
          <w:sz w:val="18"/>
          <w:szCs w:val="18"/>
        </w:rPr>
        <w:t xml:space="preserve"> in particolare</w:t>
      </w:r>
      <w:r w:rsidRPr="009723EF">
        <w:rPr>
          <w:sz w:val="18"/>
          <w:szCs w:val="18"/>
        </w:rPr>
        <w:t xml:space="preserve"> evidenziare il contributo che tali attori forniscono</w:t>
      </w:r>
      <w:r w:rsidR="00993F75" w:rsidRPr="009723EF">
        <w:rPr>
          <w:sz w:val="18"/>
          <w:szCs w:val="18"/>
        </w:rPr>
        <w:t xml:space="preserve"> in una logica complessiva di sostenibilità</w:t>
      </w:r>
      <w:r w:rsidRPr="009723EF">
        <w:rPr>
          <w:sz w:val="18"/>
          <w:szCs w:val="18"/>
        </w:rPr>
        <w:t xml:space="preserve">, le dimensioni di spesa che possono garantire, i modelli organizzativi, gli spazi di opportunità e gli elementi critici evidenziati dalla letteratura. </w:t>
      </w:r>
    </w:p>
    <w:p w14:paraId="343EC20E" w14:textId="3216E61A" w:rsidR="003861F1" w:rsidRPr="009723EF" w:rsidRDefault="003861F1" w:rsidP="00232173">
      <w:pPr>
        <w:spacing w:line="240" w:lineRule="exact"/>
        <w:rPr>
          <w:sz w:val="18"/>
          <w:szCs w:val="18"/>
        </w:rPr>
      </w:pPr>
      <w:r w:rsidRPr="009723EF">
        <w:rPr>
          <w:sz w:val="18"/>
          <w:szCs w:val="18"/>
        </w:rPr>
        <w:t>Completano il corso tre laboratori applicativi (di cui due obbligatori)</w:t>
      </w:r>
      <w:r w:rsidR="00993F75" w:rsidRPr="009723EF">
        <w:rPr>
          <w:sz w:val="18"/>
          <w:szCs w:val="18"/>
        </w:rPr>
        <w:t>, che</w:t>
      </w:r>
      <w:r w:rsidRPr="009723EF">
        <w:rPr>
          <w:sz w:val="18"/>
          <w:szCs w:val="18"/>
        </w:rPr>
        <w:t xml:space="preserve"> consentiranno di avvicinare lo studente all’uso di strumenti operativi utili nelle professioni del welfare e dello sviluppo sostenibile.</w:t>
      </w:r>
    </w:p>
    <w:p w14:paraId="66A76FEC" w14:textId="3EC45FCA" w:rsidR="003861F1" w:rsidRPr="009723EF" w:rsidRDefault="003861F1" w:rsidP="00232173">
      <w:pPr>
        <w:pStyle w:val="Default"/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9723EF">
        <w:rPr>
          <w:rFonts w:ascii="Times New Roman" w:hAnsi="Times New Roman" w:cs="Times New Roman"/>
          <w:sz w:val="18"/>
          <w:szCs w:val="18"/>
        </w:rPr>
        <w:t>I risultati di apprendimento attesi riguardano sia capacità disciplinari che capacità trasversali. Al termine del corso lo studente sarà in grado di identificare le caratteristiche salienti del contributo</w:t>
      </w:r>
      <w:r w:rsidR="00993F75" w:rsidRPr="009723EF">
        <w:rPr>
          <w:rFonts w:ascii="Times New Roman" w:hAnsi="Times New Roman" w:cs="Times New Roman"/>
          <w:sz w:val="18"/>
          <w:szCs w:val="18"/>
        </w:rPr>
        <w:t xml:space="preserve"> alla sostenibilità</w:t>
      </w:r>
      <w:r w:rsidRPr="009723EF">
        <w:rPr>
          <w:rFonts w:ascii="Times New Roman" w:hAnsi="Times New Roman" w:cs="Times New Roman"/>
          <w:sz w:val="18"/>
          <w:szCs w:val="18"/>
        </w:rPr>
        <w:t xml:space="preserve"> offerto dai vari attori </w:t>
      </w:r>
      <w:r w:rsidR="00993F75" w:rsidRPr="009723EF">
        <w:rPr>
          <w:rFonts w:ascii="Times New Roman" w:hAnsi="Times New Roman" w:cs="Times New Roman"/>
          <w:sz w:val="18"/>
          <w:szCs w:val="18"/>
        </w:rPr>
        <w:t>d</w:t>
      </w:r>
      <w:r w:rsidRPr="009723EF">
        <w:rPr>
          <w:rFonts w:ascii="Times New Roman" w:hAnsi="Times New Roman" w:cs="Times New Roman"/>
          <w:sz w:val="18"/>
          <w:szCs w:val="18"/>
        </w:rPr>
        <w:t>el sistema di welfare, sapendo definire i punti di forza e di debolezza, nonché identificando le prospettive di sviluppo. Lo studente sarà altresì in grado di padroneggiare alcuni strumenti tecnico-</w:t>
      </w:r>
      <w:r w:rsidR="00993F75" w:rsidRPr="009723EF">
        <w:rPr>
          <w:rFonts w:ascii="Times New Roman" w:hAnsi="Times New Roman" w:cs="Times New Roman"/>
          <w:sz w:val="18"/>
          <w:szCs w:val="18"/>
        </w:rPr>
        <w:t>pratici</w:t>
      </w:r>
      <w:r w:rsidRPr="009723EF">
        <w:rPr>
          <w:rFonts w:ascii="Times New Roman" w:hAnsi="Times New Roman" w:cs="Times New Roman"/>
          <w:sz w:val="18"/>
          <w:szCs w:val="18"/>
        </w:rPr>
        <w:t xml:space="preserve"> utili per lo sviluppo di alcune aree operative </w:t>
      </w:r>
      <w:r w:rsidR="00993F75" w:rsidRPr="009723EF">
        <w:rPr>
          <w:rFonts w:ascii="Times New Roman" w:hAnsi="Times New Roman" w:cs="Times New Roman"/>
          <w:sz w:val="18"/>
          <w:szCs w:val="18"/>
        </w:rPr>
        <w:t>nei soggetti</w:t>
      </w:r>
      <w:r w:rsidRPr="009723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23EF">
        <w:rPr>
          <w:rFonts w:ascii="Times New Roman" w:hAnsi="Times New Roman" w:cs="Times New Roman"/>
          <w:sz w:val="18"/>
          <w:szCs w:val="18"/>
        </w:rPr>
        <w:t>nonprofit</w:t>
      </w:r>
      <w:proofErr w:type="spellEnd"/>
      <w:r w:rsidR="00993F75" w:rsidRPr="009723EF">
        <w:rPr>
          <w:rFonts w:ascii="Times New Roman" w:hAnsi="Times New Roman" w:cs="Times New Roman"/>
          <w:sz w:val="18"/>
          <w:szCs w:val="18"/>
        </w:rPr>
        <w:t xml:space="preserve"> e nelle aziende dotate di piani di welfare per i dipendenti</w:t>
      </w:r>
      <w:r w:rsidRPr="009723EF">
        <w:rPr>
          <w:rFonts w:ascii="Times New Roman" w:hAnsi="Times New Roman" w:cs="Times New Roman"/>
          <w:sz w:val="18"/>
          <w:szCs w:val="18"/>
        </w:rPr>
        <w:t>. Rispetto alle competenze trasversali, verrà richiesta l’acquisizione di una capacità di riflessione critica, di collaborazione e di lavoro di gruppo.</w:t>
      </w:r>
    </w:p>
    <w:p w14:paraId="407D8C99" w14:textId="77777777" w:rsidR="003861F1" w:rsidRPr="009723EF" w:rsidRDefault="003861F1" w:rsidP="003861F1">
      <w:pPr>
        <w:spacing w:before="240" w:after="120" w:line="240" w:lineRule="exact"/>
        <w:rPr>
          <w:b/>
          <w:sz w:val="18"/>
          <w:szCs w:val="18"/>
        </w:rPr>
      </w:pPr>
      <w:r w:rsidRPr="009723EF">
        <w:rPr>
          <w:b/>
          <w:i/>
          <w:sz w:val="18"/>
          <w:szCs w:val="18"/>
        </w:rPr>
        <w:t>PROGRAMMA DEL CORSO</w:t>
      </w:r>
    </w:p>
    <w:p w14:paraId="2B879795" w14:textId="77777777" w:rsidR="003861F1" w:rsidRPr="009723EF" w:rsidRDefault="003861F1" w:rsidP="00232173">
      <w:pPr>
        <w:spacing w:before="120" w:line="240" w:lineRule="exact"/>
        <w:rPr>
          <w:sz w:val="18"/>
          <w:szCs w:val="18"/>
        </w:rPr>
      </w:pPr>
      <w:r w:rsidRPr="009723EF">
        <w:rPr>
          <w:sz w:val="18"/>
          <w:szCs w:val="18"/>
        </w:rPr>
        <w:t>Il corso prevede l’approfondimento dei seguenti temi:</w:t>
      </w:r>
    </w:p>
    <w:p w14:paraId="6DFF00F0" w14:textId="77777777" w:rsidR="00177083" w:rsidRPr="009723EF" w:rsidRDefault="003861F1" w:rsidP="00177083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 w:rsidRPr="009723EF">
        <w:rPr>
          <w:sz w:val="18"/>
          <w:szCs w:val="18"/>
        </w:rPr>
        <w:t>Welfare mix e sistemi di welfare plurale: caratteristiche generali; paradigmi culturali e opzioni di politiche pubbliche; meccanismi e principali strumenti della governance di sistemi pubblico-privati;</w:t>
      </w:r>
    </w:p>
    <w:p w14:paraId="47134DDC" w14:textId="51079286" w:rsidR="00177083" w:rsidRPr="009723EF" w:rsidRDefault="00177083" w:rsidP="00177083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 w:rsidRPr="009723EF">
        <w:rPr>
          <w:sz w:val="18"/>
          <w:szCs w:val="18"/>
        </w:rPr>
        <w:t>I</w:t>
      </w:r>
      <w:r w:rsidR="002D2A23" w:rsidRPr="009723EF">
        <w:rPr>
          <w:sz w:val="18"/>
          <w:szCs w:val="18"/>
        </w:rPr>
        <w:t xml:space="preserve"> </w:t>
      </w:r>
      <w:r w:rsidR="003861F1" w:rsidRPr="009723EF">
        <w:rPr>
          <w:sz w:val="18"/>
          <w:szCs w:val="18"/>
        </w:rPr>
        <w:t>soggetti del terzo settore: cooperazione sociale, impr</w:t>
      </w:r>
      <w:r w:rsidR="002D2A23" w:rsidRPr="009723EF">
        <w:rPr>
          <w:sz w:val="18"/>
          <w:szCs w:val="18"/>
        </w:rPr>
        <w:t>ese sociali, enti mutualistici</w:t>
      </w:r>
      <w:r w:rsidR="003861F1" w:rsidRPr="009723EF">
        <w:rPr>
          <w:sz w:val="18"/>
          <w:szCs w:val="18"/>
        </w:rPr>
        <w:t>; la Riforma del terzo settore in Italia</w:t>
      </w:r>
      <w:r w:rsidRPr="009723EF">
        <w:rPr>
          <w:sz w:val="18"/>
          <w:szCs w:val="18"/>
        </w:rPr>
        <w:t>;</w:t>
      </w:r>
      <w:r w:rsidR="002D2A23" w:rsidRPr="009723EF">
        <w:rPr>
          <w:sz w:val="18"/>
          <w:szCs w:val="18"/>
        </w:rPr>
        <w:t xml:space="preserve"> le partnership pubbli</w:t>
      </w:r>
      <w:r w:rsidR="00993F75" w:rsidRPr="009723EF">
        <w:rPr>
          <w:sz w:val="18"/>
          <w:szCs w:val="18"/>
        </w:rPr>
        <w:t>c</w:t>
      </w:r>
      <w:r w:rsidR="002D2A23" w:rsidRPr="009723EF">
        <w:rPr>
          <w:sz w:val="18"/>
          <w:szCs w:val="18"/>
        </w:rPr>
        <w:t>o-privato</w:t>
      </w:r>
      <w:r w:rsidRPr="009723EF">
        <w:rPr>
          <w:sz w:val="18"/>
          <w:szCs w:val="18"/>
        </w:rPr>
        <w:t xml:space="preserve">, con focus </w:t>
      </w:r>
      <w:proofErr w:type="spellStart"/>
      <w:r w:rsidR="008925A2">
        <w:rPr>
          <w:sz w:val="18"/>
          <w:szCs w:val="18"/>
        </w:rPr>
        <w:t>su i</w:t>
      </w:r>
      <w:proofErr w:type="spellEnd"/>
      <w:r w:rsidR="008925A2">
        <w:rPr>
          <w:sz w:val="18"/>
          <w:szCs w:val="18"/>
        </w:rPr>
        <w:t>)</w:t>
      </w:r>
      <w:r w:rsidRPr="009723EF">
        <w:rPr>
          <w:sz w:val="18"/>
          <w:szCs w:val="18"/>
        </w:rPr>
        <w:t xml:space="preserve"> contributo delle imprese sociali nei processi di rigenerazione urbana</w:t>
      </w:r>
      <w:r w:rsidR="008925A2">
        <w:rPr>
          <w:sz w:val="18"/>
          <w:szCs w:val="18"/>
        </w:rPr>
        <w:t xml:space="preserve">, ii) </w:t>
      </w:r>
      <w:r w:rsidR="00AD0807" w:rsidRPr="009723EF">
        <w:rPr>
          <w:sz w:val="18"/>
          <w:szCs w:val="18"/>
        </w:rPr>
        <w:t>contributo agli obiettivi di sostenibilità</w:t>
      </w:r>
      <w:r w:rsidR="008925A2">
        <w:rPr>
          <w:sz w:val="18"/>
          <w:szCs w:val="18"/>
        </w:rPr>
        <w:t>, con particolare attenzione al tema del recupero e redistribuzione di cibo per finalità sociali</w:t>
      </w:r>
      <w:r w:rsidR="003861F1" w:rsidRPr="009723EF">
        <w:rPr>
          <w:sz w:val="18"/>
          <w:szCs w:val="18"/>
        </w:rPr>
        <w:t>.</w:t>
      </w:r>
    </w:p>
    <w:p w14:paraId="2D13D4D5" w14:textId="642E99C1" w:rsidR="00177083" w:rsidRPr="009723EF" w:rsidRDefault="003E7F0E" w:rsidP="00177083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Le relazioni tra terzo settore e Pubblica amministrazione, con un approfondimento </w:t>
      </w:r>
      <w:r w:rsidR="005F0D1E">
        <w:rPr>
          <w:sz w:val="18"/>
          <w:szCs w:val="18"/>
        </w:rPr>
        <w:t>sui temi dell’amministrazione condivisa (</w:t>
      </w:r>
      <w:proofErr w:type="spellStart"/>
      <w:r w:rsidR="005F0D1E">
        <w:rPr>
          <w:sz w:val="18"/>
          <w:szCs w:val="18"/>
        </w:rPr>
        <w:t>coprogrammazione</w:t>
      </w:r>
      <w:proofErr w:type="spellEnd"/>
      <w:r w:rsidR="005F0D1E">
        <w:rPr>
          <w:sz w:val="18"/>
          <w:szCs w:val="18"/>
        </w:rPr>
        <w:t>, coprogettazione)</w:t>
      </w:r>
      <w:r w:rsidR="002D2A23" w:rsidRPr="009723EF">
        <w:rPr>
          <w:sz w:val="18"/>
          <w:szCs w:val="18"/>
        </w:rPr>
        <w:t>.</w:t>
      </w:r>
    </w:p>
    <w:p w14:paraId="163C44C6" w14:textId="22D253DA" w:rsidR="003861F1" w:rsidRPr="009723EF" w:rsidRDefault="00993F75" w:rsidP="00177083">
      <w:pPr>
        <w:pStyle w:val="Paragrafoelenco"/>
        <w:numPr>
          <w:ilvl w:val="0"/>
          <w:numId w:val="2"/>
        </w:numPr>
        <w:spacing w:line="240" w:lineRule="exact"/>
        <w:rPr>
          <w:sz w:val="18"/>
          <w:szCs w:val="18"/>
        </w:rPr>
      </w:pPr>
      <w:r w:rsidRPr="009723EF">
        <w:rPr>
          <w:sz w:val="18"/>
          <w:szCs w:val="18"/>
        </w:rPr>
        <w:t>Il contributo del welfare aziendale agli obiettivi di sostenibilità</w:t>
      </w:r>
      <w:r w:rsidR="003861F1" w:rsidRPr="009723EF">
        <w:rPr>
          <w:sz w:val="18"/>
          <w:szCs w:val="18"/>
        </w:rPr>
        <w:t>: strumenti, dimensioni del fenomeno, prospettive e problemi.</w:t>
      </w:r>
    </w:p>
    <w:p w14:paraId="37AFAF89" w14:textId="77777777" w:rsidR="009C38AA" w:rsidRDefault="009C38AA" w:rsidP="00646B3F">
      <w:pPr>
        <w:spacing w:before="240" w:after="120"/>
        <w:rPr>
          <w:b/>
          <w:i/>
          <w:sz w:val="18"/>
          <w:szCs w:val="18"/>
        </w:rPr>
      </w:pPr>
    </w:p>
    <w:p w14:paraId="21272564" w14:textId="3DEC092C" w:rsidR="00646B3F" w:rsidRPr="009723EF" w:rsidRDefault="003861F1" w:rsidP="00646B3F">
      <w:pPr>
        <w:spacing w:before="240" w:after="120"/>
        <w:rPr>
          <w:smallCaps/>
          <w:spacing w:val="-5"/>
          <w:sz w:val="18"/>
          <w:szCs w:val="18"/>
        </w:rPr>
      </w:pPr>
      <w:r w:rsidRPr="009723EF">
        <w:rPr>
          <w:b/>
          <w:i/>
          <w:sz w:val="18"/>
          <w:szCs w:val="18"/>
        </w:rPr>
        <w:t>BIBLIOGRAFIA</w:t>
      </w:r>
      <w:r w:rsidR="00293EDA">
        <w:rPr>
          <w:rStyle w:val="Rimandonotaapidipagina"/>
          <w:b/>
          <w:i/>
          <w:sz w:val="18"/>
          <w:szCs w:val="18"/>
        </w:rPr>
        <w:footnoteReference w:id="1"/>
      </w:r>
    </w:p>
    <w:p w14:paraId="65BE7539" w14:textId="77777777" w:rsidR="009C38AA" w:rsidRPr="009723EF" w:rsidRDefault="009C38AA" w:rsidP="009C38AA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 xml:space="preserve">A. Bernardoni, M. </w:t>
      </w:r>
      <w:proofErr w:type="spellStart"/>
      <w:r w:rsidRPr="009723EF">
        <w:rPr>
          <w:smallCaps/>
          <w:spacing w:val="-5"/>
          <w:sz w:val="18"/>
          <w:szCs w:val="18"/>
        </w:rPr>
        <w:t>Cossignani</w:t>
      </w:r>
      <w:proofErr w:type="spellEnd"/>
      <w:r w:rsidRPr="009723EF">
        <w:rPr>
          <w:smallCaps/>
          <w:spacing w:val="-5"/>
          <w:sz w:val="18"/>
          <w:szCs w:val="18"/>
        </w:rPr>
        <w:t>, D. Papi, A. Picciotti</w:t>
      </w:r>
      <w:r w:rsidRPr="009723EF">
        <w:rPr>
          <w:i/>
          <w:iCs/>
          <w:smallCaps/>
          <w:spacing w:val="-5"/>
          <w:sz w:val="18"/>
          <w:szCs w:val="18"/>
        </w:rPr>
        <w:t xml:space="preserve">, </w:t>
      </w:r>
      <w:r w:rsidRPr="009723EF">
        <w:rPr>
          <w:i/>
          <w:iCs/>
          <w:spacing w:val="-5"/>
          <w:sz w:val="18"/>
          <w:szCs w:val="18"/>
        </w:rPr>
        <w:t>Il ruolo delle imprese sociali e delle organizzazioni del terzo settore nei processi di rigenerazione urbana</w:t>
      </w:r>
      <w:r w:rsidRPr="009723EF">
        <w:rPr>
          <w:spacing w:val="-5"/>
          <w:sz w:val="18"/>
          <w:szCs w:val="18"/>
        </w:rPr>
        <w:t xml:space="preserve">, in “Impresa Sociale”, 2, 2021 (disponibile su </w:t>
      </w:r>
      <w:proofErr w:type="spellStart"/>
      <w:r w:rsidRPr="009723EF">
        <w:rPr>
          <w:spacing w:val="-5"/>
          <w:sz w:val="18"/>
          <w:szCs w:val="18"/>
        </w:rPr>
        <w:t>Blackboard</w:t>
      </w:r>
      <w:proofErr w:type="spellEnd"/>
      <w:r w:rsidRPr="009723EF">
        <w:rPr>
          <w:spacing w:val="-5"/>
          <w:sz w:val="18"/>
          <w:szCs w:val="18"/>
        </w:rPr>
        <w:t>).</w:t>
      </w:r>
    </w:p>
    <w:p w14:paraId="75D22F69" w14:textId="78903EDC" w:rsidR="00C43358" w:rsidRPr="009723EF" w:rsidRDefault="00C43358" w:rsidP="00C4335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 xml:space="preserve">U. De Ambrogio, </w:t>
      </w:r>
      <w:r w:rsidR="005F0D1E">
        <w:rPr>
          <w:smallCaps/>
          <w:spacing w:val="-5"/>
          <w:sz w:val="18"/>
          <w:szCs w:val="18"/>
        </w:rPr>
        <w:t>G. Marocchi (a cura di)</w:t>
      </w:r>
      <w:r w:rsidRPr="009723EF">
        <w:rPr>
          <w:spacing w:val="-5"/>
          <w:sz w:val="18"/>
          <w:szCs w:val="18"/>
        </w:rPr>
        <w:t xml:space="preserve">, </w:t>
      </w:r>
      <w:proofErr w:type="spellStart"/>
      <w:r w:rsidR="005F0D1E">
        <w:rPr>
          <w:i/>
          <w:spacing w:val="-5"/>
          <w:sz w:val="18"/>
          <w:szCs w:val="18"/>
        </w:rPr>
        <w:t>Coprogrammare</w:t>
      </w:r>
      <w:proofErr w:type="spellEnd"/>
      <w:r w:rsidR="005F0D1E">
        <w:rPr>
          <w:i/>
          <w:spacing w:val="-5"/>
          <w:sz w:val="18"/>
          <w:szCs w:val="18"/>
        </w:rPr>
        <w:t xml:space="preserve"> e </w:t>
      </w:r>
      <w:proofErr w:type="spellStart"/>
      <w:r w:rsidR="005F0D1E">
        <w:rPr>
          <w:i/>
          <w:spacing w:val="-5"/>
          <w:sz w:val="18"/>
          <w:szCs w:val="18"/>
        </w:rPr>
        <w:t>coprogettare</w:t>
      </w:r>
      <w:proofErr w:type="spellEnd"/>
      <w:r w:rsidR="005F0D1E">
        <w:rPr>
          <w:i/>
          <w:spacing w:val="-5"/>
          <w:sz w:val="18"/>
          <w:szCs w:val="18"/>
        </w:rPr>
        <w:t>. Amministrazione condivisa e buone pratiche</w:t>
      </w:r>
      <w:r w:rsidRPr="009723EF">
        <w:rPr>
          <w:spacing w:val="-5"/>
          <w:sz w:val="18"/>
          <w:szCs w:val="18"/>
        </w:rPr>
        <w:t>, Carocci, Roma 20</w:t>
      </w:r>
      <w:r w:rsidR="005F0D1E">
        <w:rPr>
          <w:spacing w:val="-5"/>
          <w:sz w:val="18"/>
          <w:szCs w:val="18"/>
        </w:rPr>
        <w:t>23</w:t>
      </w:r>
      <w:r w:rsidRPr="009723EF">
        <w:rPr>
          <w:spacing w:val="-5"/>
          <w:sz w:val="18"/>
          <w:szCs w:val="18"/>
        </w:rPr>
        <w:t>.</w:t>
      </w:r>
      <w:r w:rsidR="00293EDA">
        <w:rPr>
          <w:spacing w:val="-5"/>
          <w:sz w:val="18"/>
          <w:szCs w:val="18"/>
        </w:rPr>
        <w:t xml:space="preserve"> </w:t>
      </w:r>
      <w:hyperlink r:id="rId8" w:history="1">
        <w:r w:rsidR="00293EDA" w:rsidRPr="00293E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B311F8D" w14:textId="1C0703E4" w:rsidR="003825AC" w:rsidRDefault="003825AC" w:rsidP="003825AC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>L. Fazzi</w:t>
      </w:r>
      <w:r w:rsidRPr="009723EF">
        <w:rPr>
          <w:spacing w:val="-5"/>
          <w:sz w:val="18"/>
          <w:szCs w:val="18"/>
        </w:rPr>
        <w:t xml:space="preserve">, </w:t>
      </w:r>
      <w:r w:rsidRPr="009723EF">
        <w:rPr>
          <w:i/>
          <w:spacing w:val="-5"/>
          <w:sz w:val="18"/>
          <w:szCs w:val="18"/>
        </w:rPr>
        <w:t>Il welfare mix</w:t>
      </w:r>
      <w:r w:rsidRPr="009723EF">
        <w:rPr>
          <w:spacing w:val="-5"/>
          <w:sz w:val="18"/>
          <w:szCs w:val="18"/>
        </w:rPr>
        <w:t xml:space="preserve">, in </w:t>
      </w:r>
      <w:r w:rsidRPr="009723EF">
        <w:rPr>
          <w:smallCaps/>
          <w:spacing w:val="-5"/>
          <w:sz w:val="18"/>
          <w:szCs w:val="18"/>
        </w:rPr>
        <w:t>C. Gori</w:t>
      </w:r>
      <w:r w:rsidRPr="009723EF">
        <w:rPr>
          <w:spacing w:val="-5"/>
          <w:sz w:val="18"/>
          <w:szCs w:val="18"/>
        </w:rPr>
        <w:t xml:space="preserve"> (a cura di), </w:t>
      </w:r>
      <w:r w:rsidRPr="009723EF">
        <w:rPr>
          <w:i/>
          <w:iCs/>
          <w:spacing w:val="-5"/>
          <w:sz w:val="18"/>
          <w:szCs w:val="18"/>
        </w:rPr>
        <w:t>Le politiche del welfare sociale</w:t>
      </w:r>
      <w:r w:rsidRPr="009723EF">
        <w:rPr>
          <w:spacing w:val="-5"/>
          <w:sz w:val="18"/>
          <w:szCs w:val="18"/>
        </w:rPr>
        <w:t>, Mondadori, Milano: pp. 127 – 141.</w:t>
      </w:r>
      <w:r w:rsidR="00293EDA">
        <w:rPr>
          <w:spacing w:val="-5"/>
          <w:sz w:val="18"/>
          <w:szCs w:val="18"/>
        </w:rPr>
        <w:t xml:space="preserve"> </w:t>
      </w:r>
      <w:hyperlink r:id="rId9" w:history="1">
        <w:r w:rsidR="00293EDA" w:rsidRPr="00293E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A95C91" w14:textId="6DFE25A6" w:rsidR="00F56909" w:rsidRPr="005F0D1E" w:rsidRDefault="00F56909" w:rsidP="00F56909">
      <w:pPr>
        <w:spacing w:line="240" w:lineRule="atLeast"/>
        <w:ind w:left="284" w:hanging="284"/>
        <w:rPr>
          <w:spacing w:val="-5"/>
          <w:sz w:val="18"/>
          <w:szCs w:val="18"/>
          <w:lang w:val="en-GB"/>
        </w:rPr>
      </w:pPr>
      <w:r w:rsidRPr="005F0D1E">
        <w:rPr>
          <w:smallCaps/>
          <w:spacing w:val="-5"/>
          <w:sz w:val="18"/>
          <w:szCs w:val="18"/>
          <w:lang w:val="en-GB"/>
        </w:rPr>
        <w:t xml:space="preserve">H. Lamble-Mumford, </w:t>
      </w:r>
      <w:proofErr w:type="spellStart"/>
      <w:r w:rsidRPr="005F0D1E">
        <w:rPr>
          <w:smallCaps/>
          <w:spacing w:val="-5"/>
          <w:sz w:val="18"/>
          <w:szCs w:val="18"/>
          <w:lang w:val="en-GB"/>
        </w:rPr>
        <w:t>Silvasti</w:t>
      </w:r>
      <w:proofErr w:type="spellEnd"/>
      <w:r w:rsidRPr="005F0D1E">
        <w:rPr>
          <w:smallCaps/>
          <w:spacing w:val="-5"/>
          <w:sz w:val="18"/>
          <w:szCs w:val="18"/>
          <w:lang w:val="en-GB"/>
        </w:rPr>
        <w:t xml:space="preserve"> </w:t>
      </w:r>
      <w:proofErr w:type="spellStart"/>
      <w:r w:rsidRPr="005F0D1E">
        <w:rPr>
          <w:smallCaps/>
          <w:spacing w:val="-5"/>
          <w:sz w:val="18"/>
          <w:szCs w:val="18"/>
          <w:lang w:val="en-GB"/>
        </w:rPr>
        <w:t>Tiina</w:t>
      </w:r>
      <w:proofErr w:type="spellEnd"/>
      <w:r w:rsidRPr="005F0D1E">
        <w:rPr>
          <w:smallCaps/>
          <w:spacing w:val="-5"/>
          <w:sz w:val="18"/>
          <w:szCs w:val="18"/>
          <w:lang w:val="en-GB"/>
        </w:rPr>
        <w:t xml:space="preserve">, </w:t>
      </w:r>
      <w:r w:rsidRPr="005F0D1E">
        <w:rPr>
          <w:i/>
          <w:spacing w:val="-5"/>
          <w:sz w:val="18"/>
          <w:szCs w:val="18"/>
          <w:lang w:val="en-GB"/>
        </w:rPr>
        <w:t>Conclusion: food charity in Europe</w:t>
      </w:r>
      <w:r w:rsidRPr="005F0D1E">
        <w:rPr>
          <w:spacing w:val="-5"/>
          <w:sz w:val="18"/>
          <w:szCs w:val="18"/>
          <w:lang w:val="en-GB"/>
        </w:rPr>
        <w:t xml:space="preserve">, in </w:t>
      </w:r>
      <w:r w:rsidRPr="005F0D1E">
        <w:rPr>
          <w:smallCaps/>
          <w:spacing w:val="-5"/>
          <w:sz w:val="18"/>
          <w:szCs w:val="18"/>
          <w:lang w:val="en-GB"/>
        </w:rPr>
        <w:t xml:space="preserve">H. Lamble-Mumford, </w:t>
      </w:r>
      <w:proofErr w:type="spellStart"/>
      <w:r w:rsidRPr="005F0D1E">
        <w:rPr>
          <w:smallCaps/>
          <w:spacing w:val="-5"/>
          <w:sz w:val="18"/>
          <w:szCs w:val="18"/>
          <w:lang w:val="en-GB"/>
        </w:rPr>
        <w:t>Silvasti</w:t>
      </w:r>
      <w:proofErr w:type="spellEnd"/>
      <w:r w:rsidRPr="005F0D1E">
        <w:rPr>
          <w:smallCaps/>
          <w:spacing w:val="-5"/>
          <w:sz w:val="18"/>
          <w:szCs w:val="18"/>
          <w:lang w:val="en-GB"/>
        </w:rPr>
        <w:t xml:space="preserve"> </w:t>
      </w:r>
      <w:proofErr w:type="spellStart"/>
      <w:r w:rsidRPr="005F0D1E">
        <w:rPr>
          <w:smallCaps/>
          <w:spacing w:val="-5"/>
          <w:sz w:val="18"/>
          <w:szCs w:val="18"/>
          <w:lang w:val="en-GB"/>
        </w:rPr>
        <w:t>Tiina</w:t>
      </w:r>
      <w:proofErr w:type="spellEnd"/>
      <w:r w:rsidRPr="005F0D1E">
        <w:rPr>
          <w:smallCaps/>
          <w:spacing w:val="-5"/>
          <w:sz w:val="18"/>
          <w:szCs w:val="18"/>
          <w:lang w:val="en-GB"/>
        </w:rPr>
        <w:t xml:space="preserve"> (eds),</w:t>
      </w:r>
      <w:r w:rsidRPr="005F0D1E">
        <w:rPr>
          <w:spacing w:val="-5"/>
          <w:sz w:val="18"/>
          <w:szCs w:val="18"/>
          <w:lang w:val="en-GB"/>
        </w:rPr>
        <w:t xml:space="preserve"> </w:t>
      </w:r>
      <w:r w:rsidRPr="005F0D1E">
        <w:rPr>
          <w:i/>
          <w:iCs/>
          <w:spacing w:val="-5"/>
          <w:sz w:val="18"/>
          <w:szCs w:val="18"/>
          <w:lang w:val="en-GB"/>
        </w:rPr>
        <w:t>The rise of food charity in Europe</w:t>
      </w:r>
      <w:r w:rsidRPr="005F0D1E">
        <w:rPr>
          <w:spacing w:val="-5"/>
          <w:sz w:val="18"/>
          <w:szCs w:val="18"/>
          <w:lang w:val="en-GB"/>
        </w:rPr>
        <w:t>, Policy Press, University of Bristol, Bristol (</w:t>
      </w:r>
      <w:proofErr w:type="spellStart"/>
      <w:r w:rsidRPr="005F0D1E">
        <w:rPr>
          <w:spacing w:val="-5"/>
          <w:sz w:val="18"/>
          <w:szCs w:val="18"/>
          <w:lang w:val="en-GB"/>
        </w:rPr>
        <w:t>disponibile</w:t>
      </w:r>
      <w:proofErr w:type="spellEnd"/>
      <w:r w:rsidRPr="005F0D1E">
        <w:rPr>
          <w:spacing w:val="-5"/>
          <w:sz w:val="18"/>
          <w:szCs w:val="18"/>
          <w:lang w:val="en-GB"/>
        </w:rPr>
        <w:t xml:space="preserve"> </w:t>
      </w:r>
      <w:proofErr w:type="spellStart"/>
      <w:r w:rsidRPr="005F0D1E">
        <w:rPr>
          <w:spacing w:val="-5"/>
          <w:sz w:val="18"/>
          <w:szCs w:val="18"/>
          <w:lang w:val="en-GB"/>
        </w:rPr>
        <w:t>su</w:t>
      </w:r>
      <w:proofErr w:type="spellEnd"/>
      <w:r w:rsidRPr="005F0D1E">
        <w:rPr>
          <w:spacing w:val="-5"/>
          <w:sz w:val="18"/>
          <w:szCs w:val="18"/>
          <w:lang w:val="en-GB"/>
        </w:rPr>
        <w:t xml:space="preserve"> Blackboard).</w:t>
      </w:r>
    </w:p>
    <w:p w14:paraId="1B71D74B" w14:textId="176D247A" w:rsidR="00C43358" w:rsidRPr="009723EF" w:rsidRDefault="00C43358" w:rsidP="00C4335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 xml:space="preserve">M. Lori, N. Zamaro, </w:t>
      </w:r>
      <w:r w:rsidRPr="009723EF">
        <w:rPr>
          <w:i/>
          <w:spacing w:val="-5"/>
          <w:sz w:val="18"/>
          <w:szCs w:val="18"/>
        </w:rPr>
        <w:t>Il profilo sfocato del terzo settore italiano</w:t>
      </w:r>
      <w:r w:rsidRPr="009723EF">
        <w:rPr>
          <w:spacing w:val="-5"/>
          <w:sz w:val="18"/>
          <w:szCs w:val="18"/>
        </w:rPr>
        <w:t xml:space="preserve">, in “Politiche Sociali”, 2, 2019 (disponibile su </w:t>
      </w:r>
      <w:proofErr w:type="spellStart"/>
      <w:r w:rsidRPr="009723EF">
        <w:rPr>
          <w:spacing w:val="-5"/>
          <w:sz w:val="18"/>
          <w:szCs w:val="18"/>
        </w:rPr>
        <w:t>Blackboard</w:t>
      </w:r>
      <w:proofErr w:type="spellEnd"/>
      <w:r w:rsidRPr="009723EF">
        <w:rPr>
          <w:spacing w:val="-5"/>
          <w:sz w:val="18"/>
          <w:szCs w:val="18"/>
        </w:rPr>
        <w:t>).</w:t>
      </w:r>
    </w:p>
    <w:p w14:paraId="76543473" w14:textId="32B13380" w:rsidR="003825AC" w:rsidRPr="009723EF" w:rsidRDefault="003825AC" w:rsidP="003825AC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>L. Pesenti</w:t>
      </w:r>
      <w:r w:rsidRPr="009723EF">
        <w:rPr>
          <w:spacing w:val="-5"/>
          <w:sz w:val="18"/>
          <w:szCs w:val="18"/>
        </w:rPr>
        <w:t xml:space="preserve">. </w:t>
      </w:r>
      <w:r w:rsidRPr="009723EF">
        <w:rPr>
          <w:i/>
          <w:spacing w:val="-5"/>
          <w:sz w:val="18"/>
          <w:szCs w:val="18"/>
        </w:rPr>
        <w:t xml:space="preserve">Il welfare in azienda, </w:t>
      </w:r>
      <w:r w:rsidRPr="009723EF">
        <w:rPr>
          <w:spacing w:val="-5"/>
          <w:sz w:val="18"/>
          <w:szCs w:val="18"/>
        </w:rPr>
        <w:t>Vita e Pensiero, Milano 2019.</w:t>
      </w:r>
      <w:r w:rsidR="00293EDA">
        <w:rPr>
          <w:spacing w:val="-5"/>
          <w:sz w:val="18"/>
          <w:szCs w:val="18"/>
        </w:rPr>
        <w:t xml:space="preserve"> </w:t>
      </w:r>
      <w:hyperlink r:id="rId10" w:history="1">
        <w:r w:rsidR="00293EDA" w:rsidRPr="00293ED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1D6C70A" w14:textId="77777777" w:rsidR="00DC3025" w:rsidRPr="009723EF" w:rsidRDefault="00DC3025" w:rsidP="00646B3F">
      <w:pPr>
        <w:spacing w:line="240" w:lineRule="atLeast"/>
        <w:ind w:left="284" w:hanging="284"/>
        <w:rPr>
          <w:spacing w:val="-5"/>
          <w:sz w:val="18"/>
          <w:szCs w:val="18"/>
        </w:rPr>
      </w:pPr>
    </w:p>
    <w:p w14:paraId="279E6FB9" w14:textId="77777777" w:rsidR="00110BC7" w:rsidRPr="009723EF" w:rsidRDefault="00DC3025" w:rsidP="00646B3F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pacing w:val="-5"/>
          <w:sz w:val="18"/>
          <w:szCs w:val="18"/>
        </w:rPr>
        <w:t>In aggiunta gli studenti dovranno scegliere</w:t>
      </w:r>
      <w:r w:rsidR="00110BC7" w:rsidRPr="009723EF">
        <w:rPr>
          <w:spacing w:val="-5"/>
          <w:sz w:val="18"/>
          <w:szCs w:val="18"/>
        </w:rPr>
        <w:t xml:space="preserve"> due articoli (uno in italiano e uno in inglese)</w:t>
      </w:r>
      <w:r w:rsidRPr="009723EF">
        <w:rPr>
          <w:spacing w:val="-5"/>
          <w:sz w:val="18"/>
          <w:szCs w:val="18"/>
        </w:rPr>
        <w:t xml:space="preserve"> </w:t>
      </w:r>
      <w:r w:rsidR="00110BC7" w:rsidRPr="009723EF">
        <w:rPr>
          <w:spacing w:val="-5"/>
          <w:sz w:val="18"/>
          <w:szCs w:val="18"/>
        </w:rPr>
        <w:t>tra i seguenti</w:t>
      </w:r>
    </w:p>
    <w:p w14:paraId="0430E2AE" w14:textId="77777777" w:rsidR="00DC3025" w:rsidRPr="009723EF" w:rsidRDefault="00DC3025" w:rsidP="00646B3F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9723EF">
        <w:rPr>
          <w:spacing w:val="-5"/>
          <w:sz w:val="18"/>
          <w:szCs w:val="18"/>
        </w:rPr>
        <w:t xml:space="preserve">(disponibili su </w:t>
      </w:r>
      <w:proofErr w:type="spellStart"/>
      <w:r w:rsidRPr="009723EF">
        <w:rPr>
          <w:spacing w:val="-5"/>
          <w:sz w:val="18"/>
          <w:szCs w:val="18"/>
        </w:rPr>
        <w:t>Blackboard</w:t>
      </w:r>
      <w:proofErr w:type="spellEnd"/>
      <w:r w:rsidRPr="009723EF">
        <w:rPr>
          <w:spacing w:val="-5"/>
          <w:sz w:val="18"/>
          <w:szCs w:val="18"/>
        </w:rPr>
        <w:t xml:space="preserve">): </w:t>
      </w:r>
    </w:p>
    <w:p w14:paraId="6274E8DA" w14:textId="77777777" w:rsidR="00DC3025" w:rsidRPr="009723EF" w:rsidRDefault="00DC3025" w:rsidP="00DC3025">
      <w:pPr>
        <w:spacing w:line="240" w:lineRule="atLeast"/>
        <w:ind w:left="284" w:hanging="284"/>
        <w:rPr>
          <w:smallCaps/>
          <w:spacing w:val="-5"/>
          <w:sz w:val="18"/>
          <w:szCs w:val="18"/>
        </w:rPr>
      </w:pPr>
    </w:p>
    <w:p w14:paraId="25EAAF91" w14:textId="77777777" w:rsidR="00AE6D60" w:rsidRPr="009723EF" w:rsidRDefault="00AE6D60" w:rsidP="00AE6D60">
      <w:pPr>
        <w:autoSpaceDE w:val="0"/>
        <w:autoSpaceDN w:val="0"/>
        <w:adjustRightInd w:val="0"/>
        <w:spacing w:line="240" w:lineRule="auto"/>
        <w:ind w:left="284" w:hanging="284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 xml:space="preserve">S. Busso, </w:t>
      </w:r>
      <w:r w:rsidRPr="009723EF">
        <w:rPr>
          <w:bCs/>
          <w:i/>
          <w:sz w:val="18"/>
          <w:szCs w:val="18"/>
        </w:rPr>
        <w:t>Terzo settore e politica. Appunti per una mappa dei temi e degli approcci</w:t>
      </w:r>
      <w:r w:rsidRPr="009723EF">
        <w:rPr>
          <w:spacing w:val="-5"/>
          <w:sz w:val="18"/>
          <w:szCs w:val="18"/>
        </w:rPr>
        <w:t>, in  “Politiche Sociali”, 2, maggio-agosto 2019.</w:t>
      </w:r>
    </w:p>
    <w:p w14:paraId="3A15E383" w14:textId="77777777" w:rsidR="00DC3025" w:rsidRPr="009723EF" w:rsidRDefault="00DC3025" w:rsidP="00DC3025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spacing w:val="-5"/>
          <w:sz w:val="18"/>
          <w:szCs w:val="18"/>
        </w:rPr>
      </w:pPr>
      <w:r w:rsidRPr="009723EF">
        <w:rPr>
          <w:smallCaps/>
          <w:spacing w:val="-5"/>
          <w:sz w:val="18"/>
          <w:szCs w:val="18"/>
        </w:rPr>
        <w:t>G. Moro</w:t>
      </w:r>
      <w:r w:rsidRPr="009723EF">
        <w:rPr>
          <w:spacing w:val="-5"/>
          <w:sz w:val="18"/>
          <w:szCs w:val="18"/>
        </w:rPr>
        <w:t xml:space="preserve">, </w:t>
      </w:r>
      <w:r w:rsidRPr="009723EF">
        <w:rPr>
          <w:i/>
          <w:sz w:val="18"/>
          <w:szCs w:val="18"/>
        </w:rPr>
        <w:t>Tra forme e attività. Un’analisi critica della cultura politica e amministrativa della riforma del Terzo settore</w:t>
      </w:r>
      <w:r w:rsidRPr="009723EF">
        <w:rPr>
          <w:spacing w:val="-5"/>
          <w:sz w:val="18"/>
          <w:szCs w:val="18"/>
        </w:rPr>
        <w:t>, in “Politiche Sociali”, 2, maggio-agosto 2019.</w:t>
      </w:r>
    </w:p>
    <w:p w14:paraId="6A8D4523" w14:textId="77777777" w:rsidR="00DC3025" w:rsidRPr="009723EF" w:rsidRDefault="00DC3025" w:rsidP="00DC3025">
      <w:pPr>
        <w:autoSpaceDE w:val="0"/>
        <w:autoSpaceDN w:val="0"/>
        <w:adjustRightInd w:val="0"/>
        <w:spacing w:line="240" w:lineRule="auto"/>
        <w:ind w:left="284" w:hanging="284"/>
        <w:rPr>
          <w:i/>
          <w:spacing w:val="-5"/>
          <w:sz w:val="18"/>
          <w:szCs w:val="18"/>
        </w:rPr>
      </w:pPr>
    </w:p>
    <w:p w14:paraId="13BE949E" w14:textId="117115C6" w:rsidR="002D2A23" w:rsidRPr="009723EF" w:rsidRDefault="005770EE" w:rsidP="00DC3025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spacing w:val="-5"/>
          <w:sz w:val="18"/>
          <w:szCs w:val="18"/>
          <w:lang w:val="en-US"/>
        </w:rPr>
      </w:pPr>
      <w:r>
        <w:rPr>
          <w:smallCaps/>
          <w:spacing w:val="-5"/>
          <w:sz w:val="18"/>
          <w:szCs w:val="18"/>
          <w:lang w:val="en-US"/>
        </w:rPr>
        <w:t xml:space="preserve">Toepler S., Zimmer A., Levy K., </w:t>
      </w:r>
      <w:proofErr w:type="spellStart"/>
      <w:r>
        <w:rPr>
          <w:smallCaps/>
          <w:spacing w:val="-5"/>
          <w:sz w:val="18"/>
          <w:szCs w:val="18"/>
          <w:lang w:val="en-US"/>
        </w:rPr>
        <w:t>Frohlic</w:t>
      </w:r>
      <w:proofErr w:type="spellEnd"/>
      <w:r>
        <w:rPr>
          <w:smallCaps/>
          <w:spacing w:val="-5"/>
          <w:sz w:val="18"/>
          <w:szCs w:val="18"/>
          <w:lang w:val="en-US"/>
        </w:rPr>
        <w:t xml:space="preserve"> C.</w:t>
      </w:r>
      <w:r w:rsidR="002D2A23" w:rsidRPr="009723EF">
        <w:rPr>
          <w:i/>
          <w:smallCaps/>
          <w:spacing w:val="-5"/>
          <w:sz w:val="18"/>
          <w:szCs w:val="18"/>
          <w:lang w:val="en-US"/>
        </w:rPr>
        <w:t xml:space="preserve">, </w:t>
      </w:r>
      <w:r>
        <w:rPr>
          <w:i/>
          <w:spacing w:val="-5"/>
          <w:sz w:val="18"/>
          <w:szCs w:val="18"/>
          <w:lang w:val="en-US"/>
        </w:rPr>
        <w:t xml:space="preserve">Beyond the </w:t>
      </w:r>
      <w:proofErr w:type="spellStart"/>
      <w:r>
        <w:rPr>
          <w:i/>
          <w:spacing w:val="-5"/>
          <w:sz w:val="18"/>
          <w:szCs w:val="18"/>
          <w:lang w:val="en-US"/>
        </w:rPr>
        <w:t>Parnership</w:t>
      </w:r>
      <w:proofErr w:type="spellEnd"/>
      <w:r>
        <w:rPr>
          <w:i/>
          <w:spacing w:val="-5"/>
          <w:sz w:val="18"/>
          <w:szCs w:val="18"/>
          <w:lang w:val="en-US"/>
        </w:rPr>
        <w:t xml:space="preserve"> Paradigm: Toward an Extended Typology of Government/Nonprofit Relationship Patterns</w:t>
      </w:r>
      <w:r w:rsidR="002D2A23" w:rsidRPr="009723EF">
        <w:rPr>
          <w:spacing w:val="-5"/>
          <w:sz w:val="18"/>
          <w:szCs w:val="18"/>
          <w:lang w:val="en-US"/>
        </w:rPr>
        <w:t>,</w:t>
      </w:r>
      <w:r>
        <w:rPr>
          <w:spacing w:val="-5"/>
          <w:sz w:val="18"/>
          <w:szCs w:val="18"/>
          <w:lang w:val="en-US"/>
        </w:rPr>
        <w:t xml:space="preserve"> </w:t>
      </w:r>
      <w:r w:rsidRPr="009723EF">
        <w:rPr>
          <w:spacing w:val="-5"/>
          <w:sz w:val="18"/>
          <w:szCs w:val="18"/>
          <w:lang w:val="en-US"/>
        </w:rPr>
        <w:t xml:space="preserve">in “Nonprofit and Voluntary Sector Quarterly”, vol </w:t>
      </w:r>
      <w:r>
        <w:rPr>
          <w:spacing w:val="-5"/>
          <w:sz w:val="18"/>
          <w:szCs w:val="18"/>
          <w:lang w:val="en-US"/>
        </w:rPr>
        <w:t>52</w:t>
      </w:r>
      <w:r w:rsidRPr="009723EF">
        <w:rPr>
          <w:spacing w:val="-5"/>
          <w:sz w:val="18"/>
          <w:szCs w:val="18"/>
          <w:lang w:val="en-US"/>
        </w:rPr>
        <w:t xml:space="preserve">, </w:t>
      </w:r>
      <w:r>
        <w:rPr>
          <w:spacing w:val="-5"/>
          <w:sz w:val="18"/>
          <w:szCs w:val="18"/>
          <w:lang w:val="en-US"/>
        </w:rPr>
        <w:t>IS</w:t>
      </w:r>
      <w:r w:rsidRPr="009723EF">
        <w:rPr>
          <w:spacing w:val="-5"/>
          <w:sz w:val="18"/>
          <w:szCs w:val="18"/>
          <w:lang w:val="en-US"/>
        </w:rPr>
        <w:t>, 202</w:t>
      </w:r>
      <w:r>
        <w:rPr>
          <w:spacing w:val="-5"/>
          <w:sz w:val="18"/>
          <w:szCs w:val="18"/>
          <w:lang w:val="en-US"/>
        </w:rPr>
        <w:t>3</w:t>
      </w:r>
      <w:r w:rsidR="002D2A23" w:rsidRPr="009723EF">
        <w:rPr>
          <w:spacing w:val="-5"/>
          <w:sz w:val="18"/>
          <w:szCs w:val="18"/>
          <w:lang w:val="en-US"/>
        </w:rPr>
        <w:t xml:space="preserve">. </w:t>
      </w:r>
    </w:p>
    <w:p w14:paraId="1158342A" w14:textId="77777777" w:rsidR="00DC3025" w:rsidRPr="009723EF" w:rsidRDefault="00DC3025" w:rsidP="00DC3025">
      <w:p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spacing w:val="-5"/>
          <w:sz w:val="18"/>
          <w:szCs w:val="18"/>
          <w:lang w:val="en-US"/>
        </w:rPr>
      </w:pPr>
      <w:r w:rsidRPr="009723EF">
        <w:rPr>
          <w:smallCaps/>
          <w:spacing w:val="-5"/>
          <w:sz w:val="18"/>
          <w:szCs w:val="18"/>
          <w:lang w:val="en-US"/>
        </w:rPr>
        <w:t xml:space="preserve">Van </w:t>
      </w:r>
      <w:proofErr w:type="spellStart"/>
      <w:r w:rsidRPr="009723EF">
        <w:rPr>
          <w:smallCaps/>
          <w:spacing w:val="-5"/>
          <w:sz w:val="18"/>
          <w:szCs w:val="18"/>
          <w:lang w:val="en-US"/>
        </w:rPr>
        <w:t>Puyvelde</w:t>
      </w:r>
      <w:proofErr w:type="spellEnd"/>
      <w:r w:rsidRPr="009723EF">
        <w:rPr>
          <w:smallCaps/>
          <w:spacing w:val="-5"/>
          <w:sz w:val="18"/>
          <w:szCs w:val="18"/>
          <w:lang w:val="en-US"/>
        </w:rPr>
        <w:t xml:space="preserve"> S., </w:t>
      </w:r>
      <w:proofErr w:type="spellStart"/>
      <w:r w:rsidRPr="009723EF">
        <w:rPr>
          <w:smallCaps/>
          <w:spacing w:val="-5"/>
          <w:sz w:val="18"/>
          <w:szCs w:val="18"/>
          <w:lang w:val="en-US"/>
        </w:rPr>
        <w:t>Raeymaeckers</w:t>
      </w:r>
      <w:proofErr w:type="spellEnd"/>
      <w:r w:rsidRPr="009723EF">
        <w:rPr>
          <w:smallCaps/>
          <w:spacing w:val="-5"/>
          <w:sz w:val="18"/>
          <w:szCs w:val="18"/>
          <w:lang w:val="en-US"/>
        </w:rPr>
        <w:t xml:space="preserve"> P</w:t>
      </w:r>
      <w:r w:rsidRPr="009723EF">
        <w:rPr>
          <w:spacing w:val="-5"/>
          <w:sz w:val="18"/>
          <w:szCs w:val="18"/>
          <w:lang w:val="en-US"/>
        </w:rPr>
        <w:t xml:space="preserve">., </w:t>
      </w:r>
      <w:r w:rsidRPr="009723EF">
        <w:rPr>
          <w:i/>
          <w:spacing w:val="-5"/>
          <w:sz w:val="18"/>
          <w:szCs w:val="18"/>
          <w:lang w:val="en-US"/>
        </w:rPr>
        <w:t>The Governance of Public-Nonprofit Service Networks: Four Propositions</w:t>
      </w:r>
      <w:r w:rsidRPr="009723EF">
        <w:rPr>
          <w:spacing w:val="-5"/>
          <w:sz w:val="18"/>
          <w:szCs w:val="18"/>
          <w:lang w:val="en-US"/>
        </w:rPr>
        <w:t>, in “Nonprofit and Voluntary Sector Quarterly”, vol 49, 5, 2020.</w:t>
      </w:r>
    </w:p>
    <w:p w14:paraId="4A7F4272" w14:textId="5F6CEEAA" w:rsidR="00646B3F" w:rsidRPr="009723EF" w:rsidRDefault="009723EF" w:rsidP="00ED6809">
      <w:pPr>
        <w:pStyle w:val="Testo1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 xml:space="preserve">Durante le lezioni verranno inoltre messi a disposizione degli studenti ulteriori documenti di approfondimento su specifiche tematiche. </w:t>
      </w:r>
      <w:r w:rsidR="00646B3F" w:rsidRPr="009723EF">
        <w:rPr>
          <w:rFonts w:ascii="Times New Roman" w:hAnsi="Times New Roman"/>
          <w:szCs w:val="18"/>
        </w:rPr>
        <w:t xml:space="preserve">Indicazioni sull’utilizzo dei testi da parte degli studenti frequentanti verranno fornite all’inizio del corso. </w:t>
      </w:r>
    </w:p>
    <w:p w14:paraId="0F24DD6B" w14:textId="77777777" w:rsidR="003861F1" w:rsidRPr="009723EF" w:rsidRDefault="003861F1" w:rsidP="003861F1">
      <w:pPr>
        <w:spacing w:before="240" w:after="120"/>
        <w:rPr>
          <w:b/>
          <w:i/>
          <w:sz w:val="18"/>
          <w:szCs w:val="18"/>
        </w:rPr>
      </w:pPr>
      <w:r w:rsidRPr="009723EF">
        <w:rPr>
          <w:b/>
          <w:i/>
          <w:sz w:val="18"/>
          <w:szCs w:val="18"/>
        </w:rPr>
        <w:t>DIDATTICA DEL CORSO</w:t>
      </w:r>
    </w:p>
    <w:p w14:paraId="144F08B9" w14:textId="77777777" w:rsidR="003861F1" w:rsidRPr="009723EF" w:rsidRDefault="003861F1" w:rsidP="003861F1">
      <w:pPr>
        <w:pStyle w:val="Testo2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 xml:space="preserve">Le lezioni si articoleranno in lezioni frontali, analisi di casi (anche con la presenza in aula di testimoni esterni) e lavori di gruppo. È richiesto un atteggiamento partecipativo. </w:t>
      </w:r>
    </w:p>
    <w:p w14:paraId="370E532F" w14:textId="77777777" w:rsidR="003861F1" w:rsidRPr="009723EF" w:rsidRDefault="003861F1" w:rsidP="003861F1">
      <w:pPr>
        <w:pStyle w:val="Testo2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 xml:space="preserve">È inoltre obbligatoria la partecipazione a due laboratori applicativi scelti tra </w:t>
      </w:r>
      <w:r w:rsidR="00646B3F" w:rsidRPr="009723EF">
        <w:rPr>
          <w:rFonts w:ascii="Times New Roman" w:hAnsi="Times New Roman"/>
          <w:szCs w:val="18"/>
        </w:rPr>
        <w:t xml:space="preserve">i </w:t>
      </w:r>
      <w:r w:rsidRPr="009723EF">
        <w:rPr>
          <w:rFonts w:ascii="Times New Roman" w:hAnsi="Times New Roman"/>
          <w:szCs w:val="18"/>
        </w:rPr>
        <w:t>seguenti tre:</w:t>
      </w:r>
    </w:p>
    <w:p w14:paraId="3B9A11D5" w14:textId="77777777" w:rsidR="003861F1" w:rsidRPr="009723EF" w:rsidRDefault="003861F1" w:rsidP="00232173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lastRenderedPageBreak/>
        <w:t>–</w:t>
      </w:r>
      <w:r w:rsidRPr="009723EF">
        <w:rPr>
          <w:rFonts w:ascii="Times New Roman" w:hAnsi="Times New Roman"/>
          <w:szCs w:val="18"/>
        </w:rPr>
        <w:tab/>
        <w:t>Laboratorio sui progetti finanziati dalla Unione Europea (Europrogettazione).</w:t>
      </w:r>
    </w:p>
    <w:p w14:paraId="20AAF777" w14:textId="77777777" w:rsidR="003861F1" w:rsidRPr="009723EF" w:rsidRDefault="003861F1" w:rsidP="00232173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>–</w:t>
      </w:r>
      <w:r w:rsidRPr="009723EF">
        <w:rPr>
          <w:rFonts w:ascii="Times New Roman" w:hAnsi="Times New Roman"/>
          <w:szCs w:val="18"/>
        </w:rPr>
        <w:tab/>
        <w:t>Laboratorio sul fund-raising per il nonprofit.</w:t>
      </w:r>
    </w:p>
    <w:p w14:paraId="59E456F6" w14:textId="77777777" w:rsidR="003861F1" w:rsidRPr="009723EF" w:rsidRDefault="003861F1" w:rsidP="00232173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>–</w:t>
      </w:r>
      <w:r w:rsidRPr="009723EF">
        <w:rPr>
          <w:rFonts w:ascii="Times New Roman" w:hAnsi="Times New Roman"/>
          <w:szCs w:val="18"/>
        </w:rPr>
        <w:tab/>
        <w:t>Laboratorio sulla progettazione di un piano di welfare aziendale.</w:t>
      </w:r>
    </w:p>
    <w:p w14:paraId="27E90731" w14:textId="1595E1AB" w:rsidR="003861F1" w:rsidRPr="009723EF" w:rsidRDefault="003861F1" w:rsidP="003861F1">
      <w:pPr>
        <w:spacing w:before="240" w:after="120"/>
        <w:rPr>
          <w:b/>
          <w:i/>
          <w:sz w:val="18"/>
          <w:szCs w:val="18"/>
        </w:rPr>
      </w:pPr>
      <w:r w:rsidRPr="009723EF">
        <w:rPr>
          <w:b/>
          <w:i/>
          <w:sz w:val="18"/>
          <w:szCs w:val="18"/>
        </w:rPr>
        <w:t>METODO E CRITERI DI VALUTAZIONE</w:t>
      </w:r>
    </w:p>
    <w:p w14:paraId="31C5A4E4" w14:textId="77777777" w:rsidR="003861F1" w:rsidRPr="009723EF" w:rsidRDefault="003861F1" w:rsidP="003861F1">
      <w:pPr>
        <w:pStyle w:val="Testo2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>Esame scritto con votazione espressa in trentesimi. Il calcolo del voto verrà così calcolato: ciascun laboratorio concorrerà per 1/6, mentre l’esame finale concorrerà per i restanti 2/3. Gli studenti frequentanti potranno sostituire una parte della preparazione con un dissertazione in forma scritta, che verrà concordata durante il corso. L’esame finale consisterà in cinque domande aperte e saranno finalizzate a verificare la preparazione specifica nonché una capacità argomentativa.</w:t>
      </w:r>
    </w:p>
    <w:p w14:paraId="06537A40" w14:textId="77777777" w:rsidR="003861F1" w:rsidRPr="009723EF" w:rsidRDefault="003861F1" w:rsidP="003861F1">
      <w:pPr>
        <w:spacing w:before="240" w:after="120" w:line="240" w:lineRule="exact"/>
        <w:rPr>
          <w:b/>
          <w:i/>
          <w:sz w:val="18"/>
          <w:szCs w:val="18"/>
        </w:rPr>
      </w:pPr>
      <w:r w:rsidRPr="009723EF">
        <w:rPr>
          <w:b/>
          <w:i/>
          <w:sz w:val="18"/>
          <w:szCs w:val="18"/>
        </w:rPr>
        <w:t>AVVERTENZE E PREREQUISITI</w:t>
      </w:r>
    </w:p>
    <w:p w14:paraId="4B859E4D" w14:textId="77777777" w:rsidR="00232173" w:rsidRPr="009723EF" w:rsidRDefault="00232173" w:rsidP="00232173">
      <w:pPr>
        <w:pStyle w:val="Testo2"/>
        <w:spacing w:line="276" w:lineRule="auto"/>
        <w:rPr>
          <w:rFonts w:ascii="Times New Roman" w:hAnsi="Times New Roman"/>
          <w:i/>
          <w:szCs w:val="18"/>
        </w:rPr>
      </w:pPr>
      <w:r w:rsidRPr="009723EF">
        <w:rPr>
          <w:rFonts w:ascii="Times New Roman" w:hAnsi="Times New Roman"/>
          <w:i/>
          <w:szCs w:val="18"/>
        </w:rPr>
        <w:t>Prerequisiti</w:t>
      </w:r>
    </w:p>
    <w:p w14:paraId="6016BA86" w14:textId="77777777" w:rsidR="00232173" w:rsidRPr="009723EF" w:rsidRDefault="00232173" w:rsidP="00232173">
      <w:pPr>
        <w:pStyle w:val="Testo2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 xml:space="preserve">La trattazione degli argomenti previsti richiede una conoscenza di base delle principali caratteristiche dei sistemi di welfare. </w:t>
      </w:r>
    </w:p>
    <w:p w14:paraId="62FE9C9D" w14:textId="77777777" w:rsidR="00232173" w:rsidRPr="009723EF" w:rsidRDefault="00232173" w:rsidP="00232173">
      <w:pPr>
        <w:pStyle w:val="Testo2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>Per sostenere l’esame finale gli studenti dovranno avere preventivamente ottenuto la valutazione relativa ai due laboratori applicativi a f</w:t>
      </w:r>
      <w:r w:rsidR="00646B3F" w:rsidRPr="009723EF">
        <w:rPr>
          <w:rFonts w:ascii="Times New Roman" w:hAnsi="Times New Roman"/>
          <w:szCs w:val="18"/>
        </w:rPr>
        <w:t>re</w:t>
      </w:r>
      <w:r w:rsidRPr="009723EF">
        <w:rPr>
          <w:rFonts w:ascii="Times New Roman" w:hAnsi="Times New Roman"/>
          <w:szCs w:val="18"/>
        </w:rPr>
        <w:t>quenza obbligatoria previsti.</w:t>
      </w:r>
    </w:p>
    <w:p w14:paraId="5CCB2F7D" w14:textId="77777777" w:rsidR="003861F1" w:rsidRPr="009723EF" w:rsidRDefault="003861F1" w:rsidP="00232173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9723EF">
        <w:rPr>
          <w:rFonts w:ascii="Times New Roman" w:hAnsi="Times New Roman"/>
          <w:i/>
          <w:szCs w:val="18"/>
        </w:rPr>
        <w:t>Orario e luogo di ricevimento</w:t>
      </w:r>
    </w:p>
    <w:p w14:paraId="79E9C34C" w14:textId="77777777" w:rsidR="003861F1" w:rsidRPr="009723EF" w:rsidRDefault="003861F1" w:rsidP="003861F1">
      <w:pPr>
        <w:pStyle w:val="Testo2"/>
        <w:rPr>
          <w:rFonts w:ascii="Times New Roman" w:hAnsi="Times New Roman"/>
          <w:szCs w:val="18"/>
        </w:rPr>
      </w:pPr>
      <w:r w:rsidRPr="009723EF">
        <w:rPr>
          <w:rFonts w:ascii="Times New Roman" w:hAnsi="Times New Roman"/>
          <w:szCs w:val="18"/>
        </w:rPr>
        <w:t>Il docente riceve gli studenti come indicato online sulle pagine personali.</w:t>
      </w:r>
    </w:p>
    <w:sectPr w:rsidR="003861F1" w:rsidRPr="009723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A864" w14:textId="77777777" w:rsidR="00293EDA" w:rsidRDefault="00293EDA" w:rsidP="00293EDA">
      <w:pPr>
        <w:spacing w:line="240" w:lineRule="auto"/>
      </w:pPr>
      <w:r>
        <w:separator/>
      </w:r>
    </w:p>
  </w:endnote>
  <w:endnote w:type="continuationSeparator" w:id="0">
    <w:p w14:paraId="220CE86B" w14:textId="77777777" w:rsidR="00293EDA" w:rsidRDefault="00293EDA" w:rsidP="00293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7459" w14:textId="77777777" w:rsidR="00293EDA" w:rsidRDefault="00293EDA" w:rsidP="00293EDA">
      <w:pPr>
        <w:spacing w:line="240" w:lineRule="auto"/>
      </w:pPr>
      <w:r>
        <w:separator/>
      </w:r>
    </w:p>
  </w:footnote>
  <w:footnote w:type="continuationSeparator" w:id="0">
    <w:p w14:paraId="1DF63ABB" w14:textId="77777777" w:rsidR="00293EDA" w:rsidRDefault="00293EDA" w:rsidP="00293EDA">
      <w:pPr>
        <w:spacing w:line="240" w:lineRule="auto"/>
      </w:pPr>
      <w:r>
        <w:continuationSeparator/>
      </w:r>
    </w:p>
  </w:footnote>
  <w:footnote w:id="1">
    <w:p w14:paraId="2328BF4B" w14:textId="2F054666" w:rsidR="00293EDA" w:rsidRDefault="00293E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E7432"/>
    <w:multiLevelType w:val="hybridMultilevel"/>
    <w:tmpl w:val="854AE174"/>
    <w:lvl w:ilvl="0" w:tplc="1B749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600F"/>
    <w:multiLevelType w:val="hybridMultilevel"/>
    <w:tmpl w:val="A8765B0C"/>
    <w:lvl w:ilvl="0" w:tplc="CECA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689729">
    <w:abstractNumId w:val="0"/>
  </w:num>
  <w:num w:numId="2" w16cid:durableId="39527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1"/>
    <w:rsid w:val="00110BC7"/>
    <w:rsid w:val="00177083"/>
    <w:rsid w:val="00187B99"/>
    <w:rsid w:val="002014DD"/>
    <w:rsid w:val="00232173"/>
    <w:rsid w:val="00293EDA"/>
    <w:rsid w:val="002D2A23"/>
    <w:rsid w:val="002D5E17"/>
    <w:rsid w:val="002E3B05"/>
    <w:rsid w:val="002E6AE9"/>
    <w:rsid w:val="00303022"/>
    <w:rsid w:val="00326689"/>
    <w:rsid w:val="003825AC"/>
    <w:rsid w:val="003861F1"/>
    <w:rsid w:val="003E7F0E"/>
    <w:rsid w:val="0047182C"/>
    <w:rsid w:val="004D1217"/>
    <w:rsid w:val="004D6008"/>
    <w:rsid w:val="005770EE"/>
    <w:rsid w:val="005F0D1E"/>
    <w:rsid w:val="00640794"/>
    <w:rsid w:val="00646B3F"/>
    <w:rsid w:val="006F1772"/>
    <w:rsid w:val="008925A2"/>
    <w:rsid w:val="008942E7"/>
    <w:rsid w:val="008A1204"/>
    <w:rsid w:val="00900CCA"/>
    <w:rsid w:val="00924B77"/>
    <w:rsid w:val="00940DA2"/>
    <w:rsid w:val="009723EF"/>
    <w:rsid w:val="00993F75"/>
    <w:rsid w:val="009C38AA"/>
    <w:rsid w:val="009E055C"/>
    <w:rsid w:val="009F0415"/>
    <w:rsid w:val="00A74F6F"/>
    <w:rsid w:val="00AD0807"/>
    <w:rsid w:val="00AD7557"/>
    <w:rsid w:val="00AE6D60"/>
    <w:rsid w:val="00B50C5D"/>
    <w:rsid w:val="00B51253"/>
    <w:rsid w:val="00B525CC"/>
    <w:rsid w:val="00C43358"/>
    <w:rsid w:val="00D253FD"/>
    <w:rsid w:val="00D404F2"/>
    <w:rsid w:val="00DC3025"/>
    <w:rsid w:val="00E607E6"/>
    <w:rsid w:val="00ED6809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C39BA"/>
  <w15:chartTrackingRefBased/>
  <w15:docId w15:val="{6220DE75-3602-42B2-8E03-0002B041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3861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70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93E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3EDA"/>
  </w:style>
  <w:style w:type="character" w:styleId="Rimandonotaapidipagina">
    <w:name w:val="footnote reference"/>
    <w:basedOn w:val="Carpredefinitoparagrafo"/>
    <w:rsid w:val="00293EDA"/>
    <w:rPr>
      <w:vertAlign w:val="superscript"/>
    </w:rPr>
  </w:style>
  <w:style w:type="character" w:styleId="Collegamentoipertestuale">
    <w:name w:val="Hyperlink"/>
    <w:basedOn w:val="Carpredefinitoparagrafo"/>
    <w:rsid w:val="00293E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programmare-e-coprogettare-amministrazione-condivisa-e-buone-pratiche-9788874669431-7244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uca-pesenti/il-welfare-in-azienda-imprese-smart-e-benessere-dei-lavoratori-9788834340431-6785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e-politiche-del-welfare-sociale-9788861849372-7100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5F01-D724-470D-A095-1662FBA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840</Words>
  <Characters>5634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2023-06-27T07:49:00Z</dcterms:created>
  <dcterms:modified xsi:type="dcterms:W3CDTF">2023-07-07T11:00:00Z</dcterms:modified>
</cp:coreProperties>
</file>