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E24F9D" w:rsidR="00B97DE3" w:rsidRDefault="00810BA5">
      <w:pPr>
        <w:pStyle w:val="Titolo1"/>
        <w:ind w:left="0" w:firstLine="0"/>
      </w:pPr>
      <w:r>
        <w:t>Laboratorio Theory of Change e Valutazione Impatto nella Cooperazione Internazionale</w:t>
      </w:r>
    </w:p>
    <w:p w14:paraId="00000002" w14:textId="77777777" w:rsidR="00B97DE3" w:rsidRDefault="00810BA5">
      <w:pPr>
        <w:pStyle w:val="Titolo2"/>
      </w:pPr>
      <w:r>
        <w:t>Prof. Simone Castello</w:t>
      </w:r>
    </w:p>
    <w:p w14:paraId="00000003" w14:textId="77777777" w:rsidR="00B97DE3" w:rsidRDefault="00810BA5">
      <w:pPr>
        <w:spacing w:before="240" w:after="120" w:line="240" w:lineRule="auto"/>
        <w:rPr>
          <w:b/>
          <w:sz w:val="18"/>
          <w:szCs w:val="18"/>
        </w:rPr>
      </w:pPr>
      <w:r>
        <w:rPr>
          <w:b/>
          <w:i/>
          <w:sz w:val="18"/>
          <w:szCs w:val="18"/>
        </w:rPr>
        <w:t>OBIETTIVO DEL CORSO E RISULTATI DI APPRENDIMENTO ATTESI</w:t>
      </w:r>
    </w:p>
    <w:p w14:paraId="00000004" w14:textId="77777777" w:rsidR="00B97DE3" w:rsidRDefault="00810BA5">
      <w:pPr>
        <w:spacing w:line="240" w:lineRule="auto"/>
      </w:pPr>
      <w:r>
        <w:t xml:space="preserve">Negli ultimi anni, l’attenzione alla progettazione di interventi nella comunità e alla verifica dei risultati conseguiti dagli stessi è enormemente aumentata. Se l’efficacia delle progettualità intraprese dovrebbe essere punto di partenza e ragione d’essere del settore non profit per sua natura e vocazione, si osserva una crescente pressione dal lato dei finanziatori che, con varie motivazioni, sempre più richiedono “prove di impatto”. Tale enfasi è evidente anche nelle linee poste dal </w:t>
      </w:r>
      <w:r>
        <w:rPr>
          <w:i/>
        </w:rPr>
        <w:t>Documento triennale di programmazione e di indirizzo 2019-2021</w:t>
      </w:r>
      <w:r>
        <w:t xml:space="preserve"> dell’Agenza Italiana per la Cooperazione allo Sviluppo (AICS) che evidenza: “</w:t>
      </w:r>
      <w:r>
        <w:rPr>
          <w:i/>
        </w:rPr>
        <w:t>La valutazione è indispensabile per misurare l’efficacia della cooperazione allo sviluppo e dovrà essere intensificata in modo da diventare parte integrante del processo decisionale e gestionale</w:t>
      </w:r>
      <w:r>
        <w:t xml:space="preserve">”. </w:t>
      </w:r>
    </w:p>
    <w:p w14:paraId="00000005" w14:textId="77777777" w:rsidR="00B97DE3" w:rsidRDefault="00810BA5">
      <w:pPr>
        <w:spacing w:line="240" w:lineRule="auto"/>
      </w:pPr>
      <w:r>
        <w:t xml:space="preserve">A fronte di tale enfasi, si registra ancora una relativa diffusione di una cultura della progettazione e della valutazione, in termini di metodologie, opportunità e limiti, che incide sull’effettiva possibilità di definire e implementare interventi che abbiano le migliori </w:t>
      </w:r>
      <w:r>
        <w:rPr>
          <w:i/>
        </w:rPr>
        <w:t>chances</w:t>
      </w:r>
      <w:r>
        <w:t xml:space="preserve"> di essere efficaci e che possano realmente essere valutati in modo rigoroso, quando opportuno.  </w:t>
      </w:r>
    </w:p>
    <w:p w14:paraId="00000006" w14:textId="77777777" w:rsidR="00B97DE3" w:rsidRDefault="00810BA5">
      <w:pPr>
        <w:spacing w:line="240" w:lineRule="auto"/>
      </w:pPr>
      <w:r>
        <w:t xml:space="preserve">Il corso si propone di offrire agli studenti una panoramica teorica e operativa sulle modalità e sugli strumenti più avanzati di progettazione, monitoraggio, e valutazione di interventi che mirano a generare un cambiamento positivo nella comunità. Questi strumenti rispondono all’esigenza interna di un’organizzazione di determinare il grado di efficacia dei propri progetti e, allineandosi agli standard internazionali dei principali attori della cooperazione allo sviluppo e, più in generale, del settore sociale, permettono di far fronte alle crescenti richieste degli stakeholder pubblici e privati. </w:t>
      </w:r>
    </w:p>
    <w:p w14:paraId="00000007" w14:textId="77777777" w:rsidR="00B97DE3" w:rsidRDefault="00810BA5">
      <w:pPr>
        <w:spacing w:line="240" w:lineRule="auto"/>
      </w:pPr>
      <w:r>
        <w:t>Al termine del corso gli studenti saranno in grado di:</w:t>
      </w:r>
    </w:p>
    <w:p w14:paraId="00000008" w14:textId="77777777" w:rsidR="00B97DE3" w:rsidRDefault="00810BA5">
      <w:pPr>
        <w:numPr>
          <w:ilvl w:val="0"/>
          <w:numId w:val="1"/>
        </w:numPr>
        <w:pBdr>
          <w:top w:val="nil"/>
          <w:left w:val="nil"/>
          <w:bottom w:val="nil"/>
          <w:right w:val="nil"/>
          <w:between w:val="nil"/>
        </w:pBdr>
        <w:spacing w:line="240" w:lineRule="auto"/>
        <w:rPr>
          <w:color w:val="000000"/>
          <w:szCs w:val="20"/>
        </w:rPr>
      </w:pPr>
      <w:r>
        <w:rPr>
          <w:color w:val="000000"/>
          <w:szCs w:val="20"/>
        </w:rPr>
        <w:t xml:space="preserve">Orientarsi nell’ecosistema filantropico e nelle dinamiche che influenzano le scelte erogative di finanziatori pubblici e privati. </w:t>
      </w:r>
    </w:p>
    <w:p w14:paraId="00000009" w14:textId="77777777" w:rsidR="00B97DE3" w:rsidRDefault="00810BA5">
      <w:pPr>
        <w:numPr>
          <w:ilvl w:val="0"/>
          <w:numId w:val="1"/>
        </w:numPr>
        <w:pBdr>
          <w:top w:val="nil"/>
          <w:left w:val="nil"/>
          <w:bottom w:val="nil"/>
          <w:right w:val="nil"/>
          <w:between w:val="nil"/>
        </w:pBdr>
        <w:spacing w:line="240" w:lineRule="auto"/>
        <w:rPr>
          <w:color w:val="000000"/>
          <w:szCs w:val="20"/>
        </w:rPr>
      </w:pPr>
      <w:r>
        <w:rPr>
          <w:color w:val="000000"/>
          <w:szCs w:val="20"/>
        </w:rPr>
        <w:t xml:space="preserve">Progettare utilizzando la </w:t>
      </w:r>
      <w:r>
        <w:rPr>
          <w:i/>
          <w:color w:val="000000"/>
          <w:szCs w:val="20"/>
        </w:rPr>
        <w:t xml:space="preserve">Theory of </w:t>
      </w:r>
      <w:proofErr w:type="spellStart"/>
      <w:r>
        <w:rPr>
          <w:i/>
          <w:color w:val="000000"/>
          <w:szCs w:val="20"/>
        </w:rPr>
        <w:t>Change</w:t>
      </w:r>
      <w:proofErr w:type="spellEnd"/>
      <w:r>
        <w:rPr>
          <w:color w:val="000000"/>
          <w:szCs w:val="20"/>
        </w:rPr>
        <w:t>, impostando l’intervento sui cambiamenti (</w:t>
      </w:r>
      <w:proofErr w:type="spellStart"/>
      <w:r>
        <w:rPr>
          <w:i/>
          <w:color w:val="000000"/>
          <w:szCs w:val="20"/>
        </w:rPr>
        <w:t>outcomes</w:t>
      </w:r>
      <w:proofErr w:type="spellEnd"/>
      <w:r>
        <w:rPr>
          <w:color w:val="000000"/>
          <w:szCs w:val="20"/>
        </w:rPr>
        <w:t>) più che sui prodotti/servizi (</w:t>
      </w:r>
      <w:r>
        <w:rPr>
          <w:i/>
          <w:color w:val="000000"/>
          <w:szCs w:val="20"/>
        </w:rPr>
        <w:t>outputs</w:t>
      </w:r>
      <w:r>
        <w:rPr>
          <w:color w:val="000000"/>
          <w:szCs w:val="20"/>
        </w:rPr>
        <w:t xml:space="preserve">). </w:t>
      </w:r>
    </w:p>
    <w:p w14:paraId="0000000A" w14:textId="77777777" w:rsidR="00B97DE3" w:rsidRDefault="00810BA5">
      <w:pPr>
        <w:numPr>
          <w:ilvl w:val="0"/>
          <w:numId w:val="1"/>
        </w:numPr>
        <w:pBdr>
          <w:top w:val="nil"/>
          <w:left w:val="nil"/>
          <w:bottom w:val="nil"/>
          <w:right w:val="nil"/>
          <w:between w:val="nil"/>
        </w:pBdr>
        <w:spacing w:line="240" w:lineRule="auto"/>
        <w:rPr>
          <w:color w:val="000000"/>
          <w:szCs w:val="20"/>
        </w:rPr>
      </w:pPr>
      <w:r>
        <w:rPr>
          <w:color w:val="000000"/>
          <w:szCs w:val="20"/>
        </w:rPr>
        <w:t xml:space="preserve">Utilizzare il </w:t>
      </w:r>
      <w:proofErr w:type="spellStart"/>
      <w:r>
        <w:rPr>
          <w:i/>
          <w:color w:val="000000"/>
          <w:szCs w:val="20"/>
        </w:rPr>
        <w:t>Logical</w:t>
      </w:r>
      <w:proofErr w:type="spellEnd"/>
      <w:r>
        <w:rPr>
          <w:i/>
          <w:color w:val="000000"/>
          <w:szCs w:val="20"/>
        </w:rPr>
        <w:t xml:space="preserve"> Framework</w:t>
      </w:r>
      <w:r>
        <w:rPr>
          <w:color w:val="000000"/>
          <w:szCs w:val="20"/>
        </w:rPr>
        <w:t xml:space="preserve"> di EuropeAid a fini di monitoraggio e valutazione (M&amp;E). </w:t>
      </w:r>
    </w:p>
    <w:p w14:paraId="0000000B" w14:textId="77777777" w:rsidR="00B97DE3" w:rsidRDefault="00810BA5">
      <w:pPr>
        <w:numPr>
          <w:ilvl w:val="0"/>
          <w:numId w:val="1"/>
        </w:numPr>
        <w:pBdr>
          <w:top w:val="nil"/>
          <w:left w:val="nil"/>
          <w:bottom w:val="nil"/>
          <w:right w:val="nil"/>
          <w:between w:val="nil"/>
        </w:pBdr>
        <w:spacing w:line="240" w:lineRule="auto"/>
        <w:rPr>
          <w:color w:val="000000"/>
          <w:szCs w:val="20"/>
        </w:rPr>
      </w:pPr>
      <w:r>
        <w:rPr>
          <w:color w:val="000000"/>
          <w:szCs w:val="20"/>
        </w:rPr>
        <w:t xml:space="preserve">Distinguere tra i principali approcci valutativi identificando il più idoneo per rispondere a specifiche esigenze conoscitive. </w:t>
      </w:r>
    </w:p>
    <w:p w14:paraId="0000000C" w14:textId="77777777" w:rsidR="00B97DE3" w:rsidRDefault="00810BA5">
      <w:pPr>
        <w:numPr>
          <w:ilvl w:val="0"/>
          <w:numId w:val="1"/>
        </w:numPr>
        <w:pBdr>
          <w:top w:val="nil"/>
          <w:left w:val="nil"/>
          <w:bottom w:val="nil"/>
          <w:right w:val="nil"/>
          <w:between w:val="nil"/>
        </w:pBdr>
        <w:spacing w:line="240" w:lineRule="auto"/>
        <w:rPr>
          <w:color w:val="000000"/>
          <w:szCs w:val="20"/>
        </w:rPr>
      </w:pPr>
      <w:r>
        <w:rPr>
          <w:color w:val="000000"/>
          <w:szCs w:val="20"/>
        </w:rPr>
        <w:t xml:space="preserve">Comprendere i passaggi essenziali di una valutazione dell’impatto, conoscendone logica, opportunità e limiti, riconoscendo i casi in cui è realmente opportuno applicarla e distinguendo tra valutazione rigorose e non. </w:t>
      </w:r>
    </w:p>
    <w:p w14:paraId="0000000D" w14:textId="77777777" w:rsidR="00B97DE3" w:rsidRDefault="00810BA5">
      <w:pPr>
        <w:spacing w:before="240" w:after="120" w:line="240" w:lineRule="auto"/>
        <w:rPr>
          <w:b/>
          <w:sz w:val="18"/>
          <w:szCs w:val="18"/>
        </w:rPr>
      </w:pPr>
      <w:r>
        <w:rPr>
          <w:b/>
          <w:i/>
          <w:sz w:val="18"/>
          <w:szCs w:val="18"/>
        </w:rPr>
        <w:t>PROGRAMMA DEL CORSO</w:t>
      </w:r>
    </w:p>
    <w:p w14:paraId="0000000E" w14:textId="77777777" w:rsidR="00B97DE3" w:rsidRDefault="00810BA5">
      <w:pPr>
        <w:pBdr>
          <w:top w:val="nil"/>
          <w:left w:val="nil"/>
          <w:bottom w:val="nil"/>
          <w:right w:val="nil"/>
          <w:between w:val="nil"/>
        </w:pBdr>
        <w:spacing w:before="144" w:line="240" w:lineRule="auto"/>
        <w:rPr>
          <w:color w:val="000000"/>
          <w:szCs w:val="20"/>
        </w:rPr>
      </w:pPr>
      <w:r>
        <w:rPr>
          <w:i/>
          <w:color w:val="000000"/>
          <w:szCs w:val="20"/>
        </w:rPr>
        <w:lastRenderedPageBreak/>
        <w:t>Introduzione</w:t>
      </w:r>
    </w:p>
    <w:p w14:paraId="0000000F"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Trend e strumenti che indirizzano le scelte di finanziamento degli enti erogatori. </w:t>
      </w:r>
    </w:p>
    <w:p w14:paraId="00000010"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Superare il concetto di “fiction” della “valutazione dell’impatto sociale (VIS)”. I significati e gli ambiti di applicazione dei diversi metodi valutativi. </w:t>
      </w:r>
    </w:p>
    <w:p w14:paraId="00000011"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Il legame tra progettazione e valutazione. </w:t>
      </w:r>
    </w:p>
    <w:p w14:paraId="00000012" w14:textId="77777777" w:rsidR="00B97DE3" w:rsidRDefault="00B97DE3">
      <w:pPr>
        <w:pBdr>
          <w:top w:val="nil"/>
          <w:left w:val="nil"/>
          <w:bottom w:val="nil"/>
          <w:right w:val="nil"/>
          <w:between w:val="nil"/>
        </w:pBdr>
        <w:spacing w:line="240" w:lineRule="auto"/>
        <w:rPr>
          <w:i/>
          <w:color w:val="000000"/>
          <w:sz w:val="18"/>
          <w:szCs w:val="18"/>
        </w:rPr>
      </w:pPr>
    </w:p>
    <w:p w14:paraId="00000013" w14:textId="77777777" w:rsidR="00B97DE3" w:rsidRDefault="00810BA5">
      <w:pPr>
        <w:pBdr>
          <w:top w:val="nil"/>
          <w:left w:val="nil"/>
          <w:bottom w:val="nil"/>
          <w:right w:val="nil"/>
          <w:between w:val="nil"/>
        </w:pBdr>
        <w:spacing w:line="240" w:lineRule="auto"/>
        <w:rPr>
          <w:i/>
          <w:color w:val="000000"/>
          <w:szCs w:val="20"/>
        </w:rPr>
      </w:pPr>
      <w:r>
        <w:rPr>
          <w:i/>
          <w:color w:val="000000"/>
          <w:szCs w:val="20"/>
        </w:rPr>
        <w:t xml:space="preserve">Theory of </w:t>
      </w:r>
      <w:proofErr w:type="spellStart"/>
      <w:r>
        <w:rPr>
          <w:i/>
          <w:color w:val="000000"/>
          <w:szCs w:val="20"/>
        </w:rPr>
        <w:t>Change</w:t>
      </w:r>
      <w:proofErr w:type="spellEnd"/>
      <w:r>
        <w:rPr>
          <w:i/>
          <w:color w:val="000000"/>
          <w:szCs w:val="20"/>
        </w:rPr>
        <w:t xml:space="preserve"> (</w:t>
      </w:r>
      <w:proofErr w:type="spellStart"/>
      <w:r>
        <w:rPr>
          <w:i/>
          <w:color w:val="000000"/>
          <w:szCs w:val="20"/>
        </w:rPr>
        <w:t>ToC</w:t>
      </w:r>
      <w:proofErr w:type="spellEnd"/>
      <w:r>
        <w:rPr>
          <w:i/>
          <w:color w:val="000000"/>
          <w:szCs w:val="20"/>
        </w:rPr>
        <w:t>) – Spiegazione</w:t>
      </w:r>
    </w:p>
    <w:p w14:paraId="00000014"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Che cos’è una teoria del cambiamento: origini, diffusione, scopo. </w:t>
      </w:r>
    </w:p>
    <w:p w14:paraId="00000015"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Da cosa è composta: la </w:t>
      </w:r>
      <w:proofErr w:type="spellStart"/>
      <w:r>
        <w:rPr>
          <w:i/>
          <w:color w:val="000000"/>
          <w:szCs w:val="20"/>
        </w:rPr>
        <w:t>results</w:t>
      </w:r>
      <w:proofErr w:type="spellEnd"/>
      <w:r>
        <w:rPr>
          <w:i/>
          <w:color w:val="000000"/>
          <w:szCs w:val="20"/>
        </w:rPr>
        <w:t xml:space="preserve"> chain</w:t>
      </w:r>
      <w:r>
        <w:rPr>
          <w:color w:val="000000"/>
          <w:szCs w:val="20"/>
        </w:rPr>
        <w:t xml:space="preserve">. </w:t>
      </w:r>
    </w:p>
    <w:p w14:paraId="00000016"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Casi studio: </w:t>
      </w:r>
      <w:proofErr w:type="spellStart"/>
      <w:r>
        <w:rPr>
          <w:color w:val="000000"/>
          <w:szCs w:val="20"/>
        </w:rPr>
        <w:t>ToC</w:t>
      </w:r>
      <w:proofErr w:type="spellEnd"/>
      <w:r>
        <w:rPr>
          <w:color w:val="000000"/>
          <w:szCs w:val="20"/>
        </w:rPr>
        <w:t xml:space="preserve"> a livello di strategia organizzativa e a livello di progetto. </w:t>
      </w:r>
    </w:p>
    <w:p w14:paraId="00000017" w14:textId="77777777" w:rsidR="00B97DE3" w:rsidRDefault="00B97DE3">
      <w:pPr>
        <w:pBdr>
          <w:top w:val="nil"/>
          <w:left w:val="nil"/>
          <w:bottom w:val="nil"/>
          <w:right w:val="nil"/>
          <w:between w:val="nil"/>
        </w:pBdr>
        <w:spacing w:line="240" w:lineRule="auto"/>
        <w:rPr>
          <w:color w:val="000000"/>
          <w:szCs w:val="20"/>
        </w:rPr>
      </w:pPr>
    </w:p>
    <w:p w14:paraId="00000018" w14:textId="77777777" w:rsidR="00B97DE3" w:rsidRDefault="00810BA5">
      <w:pPr>
        <w:pBdr>
          <w:top w:val="nil"/>
          <w:left w:val="nil"/>
          <w:bottom w:val="nil"/>
          <w:right w:val="nil"/>
          <w:between w:val="nil"/>
        </w:pBdr>
        <w:spacing w:line="240" w:lineRule="auto"/>
        <w:rPr>
          <w:i/>
          <w:color w:val="000000"/>
          <w:szCs w:val="20"/>
        </w:rPr>
      </w:pPr>
      <w:r>
        <w:rPr>
          <w:i/>
          <w:color w:val="000000"/>
          <w:szCs w:val="20"/>
        </w:rPr>
        <w:t xml:space="preserve">Theory of </w:t>
      </w:r>
      <w:proofErr w:type="spellStart"/>
      <w:r>
        <w:rPr>
          <w:i/>
          <w:color w:val="000000"/>
          <w:szCs w:val="20"/>
        </w:rPr>
        <w:t>Change</w:t>
      </w:r>
      <w:proofErr w:type="spellEnd"/>
      <w:r>
        <w:rPr>
          <w:i/>
          <w:color w:val="000000"/>
          <w:szCs w:val="20"/>
        </w:rPr>
        <w:t xml:space="preserve"> (</w:t>
      </w:r>
      <w:proofErr w:type="spellStart"/>
      <w:r>
        <w:rPr>
          <w:i/>
          <w:color w:val="000000"/>
          <w:szCs w:val="20"/>
        </w:rPr>
        <w:t>ToC</w:t>
      </w:r>
      <w:proofErr w:type="spellEnd"/>
      <w:r>
        <w:rPr>
          <w:i/>
          <w:color w:val="000000"/>
          <w:szCs w:val="20"/>
        </w:rPr>
        <w:t>) - Applicazione</w:t>
      </w:r>
    </w:p>
    <w:p w14:paraId="00000019"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Sviluppare una teoria del cambiamento: il procedimento </w:t>
      </w:r>
    </w:p>
    <w:p w14:paraId="0000001A"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Linee guida per gestire un workshop partecipativo con gli stakeholder. </w:t>
      </w:r>
    </w:p>
    <w:p w14:paraId="0000001B" w14:textId="77777777" w:rsidR="00B97DE3" w:rsidRDefault="00810BA5">
      <w:pPr>
        <w:pBdr>
          <w:top w:val="nil"/>
          <w:left w:val="nil"/>
          <w:bottom w:val="nil"/>
          <w:right w:val="nil"/>
          <w:between w:val="nil"/>
        </w:pBdr>
        <w:spacing w:line="240" w:lineRule="auto"/>
        <w:rPr>
          <w:color w:val="000000"/>
          <w:szCs w:val="20"/>
        </w:rPr>
      </w:pPr>
      <w:r>
        <w:rPr>
          <w:color w:val="000000"/>
          <w:szCs w:val="20"/>
        </w:rPr>
        <w:t>Esercitazione</w:t>
      </w:r>
    </w:p>
    <w:p w14:paraId="0000001C" w14:textId="77777777" w:rsidR="00B97DE3" w:rsidRDefault="00B97DE3">
      <w:pPr>
        <w:pBdr>
          <w:top w:val="nil"/>
          <w:left w:val="nil"/>
          <w:bottom w:val="nil"/>
          <w:right w:val="nil"/>
          <w:between w:val="nil"/>
        </w:pBdr>
        <w:spacing w:line="240" w:lineRule="auto"/>
        <w:rPr>
          <w:i/>
          <w:color w:val="000000"/>
          <w:szCs w:val="20"/>
        </w:rPr>
      </w:pPr>
    </w:p>
    <w:p w14:paraId="0000001D" w14:textId="77777777" w:rsidR="00B97DE3" w:rsidRDefault="00810BA5">
      <w:pPr>
        <w:pBdr>
          <w:top w:val="nil"/>
          <w:left w:val="nil"/>
          <w:bottom w:val="nil"/>
          <w:right w:val="nil"/>
          <w:between w:val="nil"/>
        </w:pBdr>
        <w:spacing w:line="240" w:lineRule="auto"/>
        <w:rPr>
          <w:color w:val="000000"/>
          <w:szCs w:val="20"/>
        </w:rPr>
      </w:pPr>
      <w:r>
        <w:rPr>
          <w:i/>
          <w:color w:val="000000"/>
          <w:szCs w:val="20"/>
        </w:rPr>
        <w:t xml:space="preserve">Progettazione – Monitoraggio – Valutazione </w:t>
      </w:r>
    </w:p>
    <w:p w14:paraId="0000001E"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Inquadramento della </w:t>
      </w:r>
      <w:proofErr w:type="spellStart"/>
      <w:r>
        <w:rPr>
          <w:color w:val="000000"/>
          <w:szCs w:val="20"/>
        </w:rPr>
        <w:t>ToC</w:t>
      </w:r>
      <w:proofErr w:type="spellEnd"/>
      <w:r>
        <w:rPr>
          <w:color w:val="000000"/>
          <w:szCs w:val="20"/>
        </w:rPr>
        <w:t xml:space="preserve"> rispetto ai sistemi di monitoraggio e valutazione e alla valutazione di impatto. </w:t>
      </w:r>
    </w:p>
    <w:p w14:paraId="0000001F"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Il </w:t>
      </w:r>
      <w:proofErr w:type="spellStart"/>
      <w:r>
        <w:rPr>
          <w:i/>
          <w:color w:val="000000"/>
          <w:szCs w:val="20"/>
        </w:rPr>
        <w:t>Logical</w:t>
      </w:r>
      <w:proofErr w:type="spellEnd"/>
      <w:r>
        <w:rPr>
          <w:i/>
          <w:color w:val="000000"/>
          <w:szCs w:val="20"/>
        </w:rPr>
        <w:t xml:space="preserve"> Framework</w:t>
      </w:r>
      <w:r>
        <w:rPr>
          <w:color w:val="000000"/>
          <w:szCs w:val="20"/>
        </w:rPr>
        <w:t xml:space="preserve"> e gli strumenti per il monitoraggio degli interventi</w:t>
      </w:r>
    </w:p>
    <w:p w14:paraId="00000020" w14:textId="77777777" w:rsidR="00B97DE3" w:rsidRDefault="00810BA5">
      <w:pPr>
        <w:pBdr>
          <w:top w:val="nil"/>
          <w:left w:val="nil"/>
          <w:bottom w:val="nil"/>
          <w:right w:val="nil"/>
          <w:between w:val="nil"/>
        </w:pBdr>
        <w:spacing w:line="240" w:lineRule="auto"/>
        <w:rPr>
          <w:color w:val="000000"/>
          <w:szCs w:val="20"/>
        </w:rPr>
      </w:pPr>
      <w:r>
        <w:rPr>
          <w:color w:val="000000"/>
          <w:szCs w:val="20"/>
        </w:rPr>
        <w:t>Esercitazione</w:t>
      </w:r>
    </w:p>
    <w:p w14:paraId="00000021" w14:textId="77777777" w:rsidR="00B97DE3" w:rsidRDefault="00B97DE3">
      <w:pPr>
        <w:pBdr>
          <w:top w:val="nil"/>
          <w:left w:val="nil"/>
          <w:bottom w:val="nil"/>
          <w:right w:val="nil"/>
          <w:between w:val="nil"/>
        </w:pBdr>
        <w:spacing w:line="240" w:lineRule="auto"/>
        <w:rPr>
          <w:i/>
          <w:color w:val="000000"/>
          <w:szCs w:val="20"/>
        </w:rPr>
      </w:pPr>
    </w:p>
    <w:p w14:paraId="00000022" w14:textId="77777777" w:rsidR="00B97DE3" w:rsidRDefault="00810BA5">
      <w:pPr>
        <w:pBdr>
          <w:top w:val="nil"/>
          <w:left w:val="nil"/>
          <w:bottom w:val="nil"/>
          <w:right w:val="nil"/>
          <w:between w:val="nil"/>
        </w:pBdr>
        <w:spacing w:line="240" w:lineRule="auto"/>
        <w:rPr>
          <w:color w:val="000000"/>
          <w:szCs w:val="20"/>
        </w:rPr>
      </w:pPr>
      <w:r>
        <w:rPr>
          <w:i/>
          <w:color w:val="000000"/>
          <w:szCs w:val="20"/>
        </w:rPr>
        <w:t>Valutazione degli effetti</w:t>
      </w:r>
    </w:p>
    <w:p w14:paraId="00000023"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Verificare i risultati (ossia determinare la validità della </w:t>
      </w:r>
      <w:proofErr w:type="spellStart"/>
      <w:r>
        <w:rPr>
          <w:color w:val="000000"/>
          <w:szCs w:val="20"/>
        </w:rPr>
        <w:t>ToC</w:t>
      </w:r>
      <w:proofErr w:type="spellEnd"/>
      <w:r>
        <w:rPr>
          <w:color w:val="000000"/>
          <w:szCs w:val="20"/>
        </w:rPr>
        <w:t xml:space="preserve">): i metodi rigorosi di valutazione dell’impatto. </w:t>
      </w:r>
    </w:p>
    <w:p w14:paraId="00000024"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Correlazione vs causazione. </w:t>
      </w:r>
    </w:p>
    <w:p w14:paraId="00000025"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Limiti e distorsioni dei confronti “prima-dopo”, “trattati-non trattati”. </w:t>
      </w:r>
    </w:p>
    <w:p w14:paraId="00000026" w14:textId="77777777" w:rsidR="00B97DE3" w:rsidRDefault="00B97DE3">
      <w:pPr>
        <w:pBdr>
          <w:top w:val="nil"/>
          <w:left w:val="nil"/>
          <w:bottom w:val="nil"/>
          <w:right w:val="nil"/>
          <w:between w:val="nil"/>
        </w:pBdr>
        <w:spacing w:line="240" w:lineRule="auto"/>
        <w:rPr>
          <w:color w:val="000000"/>
          <w:szCs w:val="20"/>
        </w:rPr>
      </w:pPr>
    </w:p>
    <w:p w14:paraId="00000027" w14:textId="77777777" w:rsidR="00B97DE3" w:rsidRDefault="00810BA5">
      <w:pPr>
        <w:pBdr>
          <w:top w:val="nil"/>
          <w:left w:val="nil"/>
          <w:bottom w:val="nil"/>
          <w:right w:val="nil"/>
          <w:between w:val="nil"/>
        </w:pBdr>
        <w:spacing w:line="240" w:lineRule="auto"/>
        <w:rPr>
          <w:color w:val="000000"/>
          <w:szCs w:val="20"/>
        </w:rPr>
      </w:pPr>
      <w:r>
        <w:rPr>
          <w:i/>
          <w:color w:val="000000"/>
          <w:szCs w:val="20"/>
        </w:rPr>
        <w:t>Valutazione degli effetti</w:t>
      </w:r>
    </w:p>
    <w:p w14:paraId="00000028" w14:textId="77777777" w:rsidR="00B97DE3" w:rsidRDefault="00810BA5">
      <w:pPr>
        <w:pBdr>
          <w:top w:val="nil"/>
          <w:left w:val="nil"/>
          <w:bottom w:val="nil"/>
          <w:right w:val="nil"/>
          <w:between w:val="nil"/>
        </w:pBdr>
        <w:spacing w:line="240" w:lineRule="auto"/>
        <w:rPr>
          <w:i/>
          <w:color w:val="000000"/>
          <w:szCs w:val="20"/>
        </w:rPr>
      </w:pPr>
      <w:r>
        <w:rPr>
          <w:color w:val="000000"/>
          <w:szCs w:val="20"/>
        </w:rPr>
        <w:t xml:space="preserve">Gli approcci controfattuali per la valutazione dell’impatto: metodi sperimentali e </w:t>
      </w:r>
      <w:r>
        <w:rPr>
          <w:i/>
          <w:color w:val="000000"/>
          <w:szCs w:val="20"/>
        </w:rPr>
        <w:t>quasi-</w:t>
      </w:r>
      <w:proofErr w:type="spellStart"/>
      <w:r>
        <w:rPr>
          <w:i/>
          <w:color w:val="000000"/>
          <w:szCs w:val="20"/>
        </w:rPr>
        <w:t>experimental</w:t>
      </w:r>
      <w:proofErr w:type="spellEnd"/>
      <w:r>
        <w:rPr>
          <w:i/>
          <w:color w:val="000000"/>
          <w:szCs w:val="20"/>
        </w:rPr>
        <w:t xml:space="preserve">. </w:t>
      </w:r>
    </w:p>
    <w:p w14:paraId="00000029"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Punti di forza, applicabilità̀, criticità̀, </w:t>
      </w:r>
      <w:r>
        <w:rPr>
          <w:i/>
          <w:color w:val="000000"/>
          <w:szCs w:val="20"/>
        </w:rPr>
        <w:t>case histories</w:t>
      </w:r>
      <w:r>
        <w:rPr>
          <w:color w:val="000000"/>
          <w:szCs w:val="20"/>
        </w:rPr>
        <w:t>.</w:t>
      </w:r>
    </w:p>
    <w:p w14:paraId="0000002A" w14:textId="77777777" w:rsidR="00B97DE3" w:rsidRDefault="00810BA5">
      <w:pPr>
        <w:pBdr>
          <w:top w:val="nil"/>
          <w:left w:val="nil"/>
          <w:bottom w:val="nil"/>
          <w:right w:val="nil"/>
          <w:between w:val="nil"/>
        </w:pBdr>
        <w:spacing w:line="240" w:lineRule="auto"/>
        <w:rPr>
          <w:i/>
          <w:color w:val="000000"/>
          <w:szCs w:val="20"/>
        </w:rPr>
      </w:pPr>
      <w:r>
        <w:rPr>
          <w:color w:val="000000"/>
          <w:szCs w:val="20"/>
        </w:rPr>
        <w:t xml:space="preserve">Le distorsioni derivanti dell’esigenza di misurabilità universale: il metodo </w:t>
      </w:r>
      <w:r>
        <w:rPr>
          <w:i/>
          <w:color w:val="000000"/>
          <w:szCs w:val="20"/>
        </w:rPr>
        <w:t>Social Return On Investment</w:t>
      </w:r>
      <w:r>
        <w:rPr>
          <w:color w:val="000000"/>
          <w:szCs w:val="20"/>
        </w:rPr>
        <w:t xml:space="preserve"> (SROI) – potenziale utilità e come non usarlo. </w:t>
      </w:r>
    </w:p>
    <w:p w14:paraId="0000002B" w14:textId="77777777" w:rsidR="00B97DE3" w:rsidRDefault="00B97DE3">
      <w:pPr>
        <w:pBdr>
          <w:top w:val="nil"/>
          <w:left w:val="nil"/>
          <w:bottom w:val="nil"/>
          <w:right w:val="nil"/>
          <w:between w:val="nil"/>
        </w:pBdr>
        <w:spacing w:line="240" w:lineRule="auto"/>
        <w:rPr>
          <w:i/>
          <w:color w:val="000000"/>
          <w:szCs w:val="20"/>
        </w:rPr>
      </w:pPr>
    </w:p>
    <w:p w14:paraId="0000002C" w14:textId="77777777" w:rsidR="00B97DE3" w:rsidRDefault="00810BA5">
      <w:pPr>
        <w:pBdr>
          <w:top w:val="nil"/>
          <w:left w:val="nil"/>
          <w:bottom w:val="nil"/>
          <w:right w:val="nil"/>
          <w:between w:val="nil"/>
        </w:pBdr>
        <w:spacing w:line="240" w:lineRule="auto"/>
        <w:rPr>
          <w:color w:val="000000"/>
          <w:szCs w:val="20"/>
        </w:rPr>
      </w:pPr>
      <w:r>
        <w:rPr>
          <w:i/>
          <w:color w:val="000000"/>
          <w:szCs w:val="20"/>
        </w:rPr>
        <w:t>Rispondere alla domanda di valutazione</w:t>
      </w:r>
    </w:p>
    <w:p w14:paraId="0000002D"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È sempre opportuno valutare? Quali obiettivi possiamo porci? Come dare risposta alle richieste di (iper)valutazione? </w:t>
      </w:r>
    </w:p>
    <w:p w14:paraId="0000002E"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Discussione e conclusioni. </w:t>
      </w:r>
    </w:p>
    <w:p w14:paraId="0000002F" w14:textId="77777777" w:rsidR="00B97DE3" w:rsidRDefault="00810BA5">
      <w:pPr>
        <w:pBdr>
          <w:top w:val="nil"/>
          <w:left w:val="nil"/>
          <w:bottom w:val="nil"/>
          <w:right w:val="nil"/>
          <w:between w:val="nil"/>
        </w:pBdr>
        <w:spacing w:line="240" w:lineRule="auto"/>
        <w:rPr>
          <w:color w:val="000000"/>
          <w:szCs w:val="20"/>
        </w:rPr>
      </w:pPr>
      <w:r>
        <w:rPr>
          <w:color w:val="000000"/>
          <w:szCs w:val="20"/>
        </w:rPr>
        <w:t xml:space="preserve">Wrap-up del corso. </w:t>
      </w:r>
    </w:p>
    <w:p w14:paraId="00000031" w14:textId="7FA6E7B3" w:rsidR="00B97DE3" w:rsidRDefault="00810BA5">
      <w:pPr>
        <w:spacing w:before="240" w:after="120"/>
        <w:rPr>
          <w:b/>
          <w:i/>
          <w:sz w:val="18"/>
          <w:szCs w:val="18"/>
        </w:rPr>
      </w:pPr>
      <w:r>
        <w:rPr>
          <w:b/>
          <w:i/>
          <w:sz w:val="18"/>
          <w:szCs w:val="18"/>
        </w:rPr>
        <w:t>BIBLIOGRAFIA</w:t>
      </w:r>
      <w:r w:rsidR="00826EE8">
        <w:rPr>
          <w:rStyle w:val="Rimandonotaapidipagina"/>
          <w:b/>
          <w:i/>
          <w:sz w:val="18"/>
          <w:szCs w:val="18"/>
        </w:rPr>
        <w:footnoteReference w:id="1"/>
      </w:r>
    </w:p>
    <w:p w14:paraId="00000032" w14:textId="77777777" w:rsidR="00B97DE3" w:rsidRDefault="00810BA5">
      <w:pPr>
        <w:spacing w:after="60" w:line="240" w:lineRule="auto"/>
        <w:ind w:left="284" w:hanging="284"/>
        <w:rPr>
          <w:sz w:val="18"/>
          <w:szCs w:val="18"/>
        </w:rPr>
      </w:pPr>
      <w:r>
        <w:rPr>
          <w:smallCaps/>
          <w:sz w:val="18"/>
          <w:szCs w:val="18"/>
        </w:rPr>
        <w:lastRenderedPageBreak/>
        <w:t>D. Hunter,</w:t>
      </w:r>
      <w:r>
        <w:rPr>
          <w:i/>
          <w:sz w:val="18"/>
          <w:szCs w:val="18"/>
        </w:rPr>
        <w:t xml:space="preserve"> Working Hard – and Working </w:t>
      </w:r>
      <w:proofErr w:type="spellStart"/>
      <w:r>
        <w:rPr>
          <w:i/>
          <w:sz w:val="18"/>
          <w:szCs w:val="18"/>
        </w:rPr>
        <w:t>Well</w:t>
      </w:r>
      <w:proofErr w:type="spellEnd"/>
      <w:r>
        <w:rPr>
          <w:i/>
          <w:sz w:val="18"/>
          <w:szCs w:val="18"/>
        </w:rPr>
        <w:t>,</w:t>
      </w:r>
      <w:r>
        <w:rPr>
          <w:sz w:val="18"/>
          <w:szCs w:val="18"/>
        </w:rPr>
        <w:t xml:space="preserve"> Hunter Consulting LLC, 2013.</w:t>
      </w:r>
    </w:p>
    <w:p w14:paraId="00000033" w14:textId="77777777" w:rsidR="00B97DE3" w:rsidRDefault="00810BA5">
      <w:pPr>
        <w:spacing w:after="60" w:line="240" w:lineRule="auto"/>
        <w:ind w:left="284" w:hanging="284"/>
        <w:rPr>
          <w:sz w:val="18"/>
          <w:szCs w:val="18"/>
        </w:rPr>
      </w:pPr>
      <w:r>
        <w:rPr>
          <w:smallCaps/>
          <w:sz w:val="18"/>
          <w:szCs w:val="18"/>
        </w:rPr>
        <w:t>A. Anderson,</w:t>
      </w:r>
      <w:r>
        <w:rPr>
          <w:i/>
          <w:sz w:val="18"/>
          <w:szCs w:val="18"/>
        </w:rPr>
        <w:t xml:space="preserve"> The Community </w:t>
      </w:r>
      <w:proofErr w:type="spellStart"/>
      <w:r>
        <w:rPr>
          <w:i/>
          <w:sz w:val="18"/>
          <w:szCs w:val="18"/>
        </w:rPr>
        <w:t>Builder’s</w:t>
      </w:r>
      <w:proofErr w:type="spellEnd"/>
      <w:r>
        <w:rPr>
          <w:i/>
          <w:sz w:val="18"/>
          <w:szCs w:val="18"/>
        </w:rPr>
        <w:t xml:space="preserve"> </w:t>
      </w:r>
      <w:proofErr w:type="spellStart"/>
      <w:r>
        <w:rPr>
          <w:i/>
          <w:sz w:val="18"/>
          <w:szCs w:val="18"/>
        </w:rPr>
        <w:t>Approach</w:t>
      </w:r>
      <w:proofErr w:type="spellEnd"/>
      <w:r>
        <w:rPr>
          <w:i/>
          <w:sz w:val="18"/>
          <w:szCs w:val="18"/>
        </w:rPr>
        <w:t xml:space="preserve"> to Theory of </w:t>
      </w:r>
      <w:proofErr w:type="spellStart"/>
      <w:r>
        <w:rPr>
          <w:i/>
          <w:sz w:val="18"/>
          <w:szCs w:val="18"/>
        </w:rPr>
        <w:t>Change</w:t>
      </w:r>
      <w:proofErr w:type="spellEnd"/>
      <w:r>
        <w:rPr>
          <w:i/>
          <w:sz w:val="18"/>
          <w:szCs w:val="18"/>
        </w:rPr>
        <w:t>,</w:t>
      </w:r>
      <w:r>
        <w:rPr>
          <w:sz w:val="18"/>
          <w:szCs w:val="18"/>
        </w:rPr>
        <w:t xml:space="preserve"> The Aspen Institute </w:t>
      </w:r>
      <w:proofErr w:type="spellStart"/>
      <w:r>
        <w:rPr>
          <w:sz w:val="18"/>
          <w:szCs w:val="18"/>
        </w:rPr>
        <w:t>Roundtable</w:t>
      </w:r>
      <w:proofErr w:type="spellEnd"/>
      <w:r>
        <w:rPr>
          <w:sz w:val="18"/>
          <w:szCs w:val="18"/>
        </w:rPr>
        <w:t xml:space="preserve"> on Community </w:t>
      </w:r>
      <w:proofErr w:type="spellStart"/>
      <w:r>
        <w:rPr>
          <w:sz w:val="18"/>
          <w:szCs w:val="18"/>
        </w:rPr>
        <w:t>Change</w:t>
      </w:r>
      <w:proofErr w:type="spellEnd"/>
      <w:r>
        <w:rPr>
          <w:sz w:val="18"/>
          <w:szCs w:val="18"/>
        </w:rPr>
        <w:t>, 2006.</w:t>
      </w:r>
    </w:p>
    <w:p w14:paraId="00000034" w14:textId="20223B0D" w:rsidR="00B97DE3" w:rsidRDefault="00810BA5">
      <w:pPr>
        <w:spacing w:after="60" w:line="240" w:lineRule="auto"/>
        <w:ind w:left="284" w:hanging="284"/>
        <w:rPr>
          <w:sz w:val="18"/>
          <w:szCs w:val="18"/>
        </w:rPr>
      </w:pPr>
      <w:r>
        <w:rPr>
          <w:smallCaps/>
          <w:sz w:val="18"/>
          <w:szCs w:val="18"/>
        </w:rPr>
        <w:t>A. Martini-M. Sisti</w:t>
      </w:r>
      <w:r>
        <w:rPr>
          <w:i/>
          <w:sz w:val="18"/>
          <w:szCs w:val="18"/>
        </w:rPr>
        <w:t>,</w:t>
      </w:r>
      <w:r>
        <w:rPr>
          <w:sz w:val="18"/>
          <w:szCs w:val="18"/>
        </w:rPr>
        <w:t xml:space="preserve"> </w:t>
      </w:r>
      <w:r>
        <w:rPr>
          <w:i/>
          <w:sz w:val="18"/>
          <w:szCs w:val="18"/>
        </w:rPr>
        <w:t>Valutare il successo delle politiche pubbliche</w:t>
      </w:r>
      <w:r>
        <w:rPr>
          <w:sz w:val="18"/>
          <w:szCs w:val="18"/>
        </w:rPr>
        <w:t>, Il Mulino, 2009.</w:t>
      </w:r>
      <w:r w:rsidR="00826EE8">
        <w:rPr>
          <w:sz w:val="18"/>
          <w:szCs w:val="18"/>
        </w:rPr>
        <w:t xml:space="preserve"> </w:t>
      </w:r>
      <w:bookmarkStart w:id="2" w:name="_Hlk139287634"/>
      <w:r w:rsidR="00826EE8">
        <w:rPr>
          <w:i/>
          <w:color w:val="0070C0"/>
          <w:sz w:val="18"/>
          <w:szCs w:val="18"/>
        </w:rPr>
        <w:fldChar w:fldCharType="begin"/>
      </w:r>
      <w:r w:rsidR="00826EE8">
        <w:rPr>
          <w:i/>
          <w:color w:val="0070C0"/>
          <w:sz w:val="18"/>
          <w:szCs w:val="18"/>
        </w:rPr>
        <w:instrText>HYPERLINK "https://librerie.unicatt.it/scheda-libro/alberto-martini-marco-sisti/valutare-il-successo-delle-politiche-pubbliche-9788815127624-208563.html"</w:instrText>
      </w:r>
      <w:r w:rsidR="00826EE8">
        <w:rPr>
          <w:i/>
          <w:color w:val="0070C0"/>
          <w:sz w:val="18"/>
          <w:szCs w:val="18"/>
        </w:rPr>
      </w:r>
      <w:r w:rsidR="00826EE8">
        <w:rPr>
          <w:i/>
          <w:color w:val="0070C0"/>
          <w:sz w:val="18"/>
          <w:szCs w:val="18"/>
        </w:rPr>
        <w:fldChar w:fldCharType="separate"/>
      </w:r>
      <w:r w:rsidR="00826EE8" w:rsidRPr="00826EE8">
        <w:rPr>
          <w:rStyle w:val="Collegamentoipertestuale"/>
          <w:i/>
          <w:sz w:val="18"/>
          <w:szCs w:val="18"/>
        </w:rPr>
        <w:t>Acquista da VP</w:t>
      </w:r>
      <w:bookmarkEnd w:id="2"/>
      <w:r w:rsidR="00826EE8">
        <w:rPr>
          <w:i/>
          <w:color w:val="0070C0"/>
          <w:sz w:val="18"/>
          <w:szCs w:val="18"/>
        </w:rPr>
        <w:fldChar w:fldCharType="end"/>
      </w:r>
    </w:p>
    <w:p w14:paraId="00000035" w14:textId="73AB2BE8" w:rsidR="00B97DE3" w:rsidRDefault="00810BA5">
      <w:pPr>
        <w:spacing w:after="40"/>
        <w:rPr>
          <w:sz w:val="18"/>
          <w:szCs w:val="18"/>
        </w:rPr>
      </w:pPr>
      <w:r>
        <w:rPr>
          <w:rFonts w:ascii="Calibri" w:eastAsia="Calibri" w:hAnsi="Calibri" w:cs="Calibri"/>
          <w:color w:val="000000"/>
          <w:highlight w:val="white"/>
        </w:rPr>
        <w:t>S</w:t>
      </w:r>
      <w:r>
        <w:rPr>
          <w:smallCaps/>
          <w:sz w:val="18"/>
          <w:szCs w:val="18"/>
        </w:rPr>
        <w:t xml:space="preserve">. Castello – </w:t>
      </w:r>
      <w:proofErr w:type="spellStart"/>
      <w:r>
        <w:rPr>
          <w:smallCaps/>
          <w:sz w:val="18"/>
          <w:szCs w:val="18"/>
        </w:rPr>
        <w:t>U.Swierczynska</w:t>
      </w:r>
      <w:proofErr w:type="spellEnd"/>
      <w:r>
        <w:rPr>
          <w:smallCaps/>
          <w:sz w:val="18"/>
          <w:szCs w:val="18"/>
        </w:rPr>
        <w:t>,</w:t>
      </w:r>
      <w:r>
        <w:rPr>
          <w:rFonts w:ascii="Calibri" w:eastAsia="Calibri" w:hAnsi="Calibri" w:cs="Calibri"/>
          <w:color w:val="000000"/>
          <w:highlight w:val="white"/>
        </w:rPr>
        <w:t xml:space="preserve"> </w:t>
      </w:r>
      <w:r>
        <w:rPr>
          <w:i/>
          <w:sz w:val="18"/>
          <w:szCs w:val="18"/>
        </w:rPr>
        <w:t>Filantropia 2.0, istruzioni per l’uso,</w:t>
      </w:r>
      <w:r>
        <w:rPr>
          <w:rFonts w:ascii="Calibri" w:eastAsia="Calibri" w:hAnsi="Calibri" w:cs="Calibri"/>
          <w:color w:val="000000"/>
          <w:highlight w:val="white"/>
        </w:rPr>
        <w:t xml:space="preserve"> </w:t>
      </w:r>
      <w:r>
        <w:rPr>
          <w:sz w:val="18"/>
          <w:szCs w:val="18"/>
        </w:rPr>
        <w:t>Franco Angeli, 2021</w:t>
      </w:r>
      <w:r w:rsidR="00826EE8">
        <w:rPr>
          <w:sz w:val="18"/>
          <w:szCs w:val="18"/>
        </w:rPr>
        <w:t xml:space="preserve"> </w:t>
      </w:r>
      <w:hyperlink r:id="rId9" w:history="1">
        <w:r w:rsidR="00826EE8" w:rsidRPr="00826EE8">
          <w:rPr>
            <w:rStyle w:val="Collegamentoipertestuale"/>
            <w:i/>
            <w:sz w:val="18"/>
            <w:szCs w:val="18"/>
          </w:rPr>
          <w:t>Acquista da VP</w:t>
        </w:r>
      </w:hyperlink>
    </w:p>
    <w:p w14:paraId="00000036" w14:textId="77777777" w:rsidR="00B97DE3" w:rsidRDefault="00810BA5">
      <w:pPr>
        <w:spacing w:after="60" w:line="240" w:lineRule="auto"/>
        <w:ind w:left="284" w:hanging="284"/>
        <w:rPr>
          <w:sz w:val="18"/>
          <w:szCs w:val="18"/>
        </w:rPr>
      </w:pPr>
      <w:r>
        <w:rPr>
          <w:smallCaps/>
          <w:sz w:val="18"/>
          <w:szCs w:val="18"/>
        </w:rPr>
        <w:t>Ufficio Osservatorio e Valutazione di Fondazione Cariplo,</w:t>
      </w:r>
      <w:r>
        <w:rPr>
          <w:i/>
          <w:sz w:val="18"/>
          <w:szCs w:val="18"/>
        </w:rPr>
        <w:t xml:space="preserve"> Sperimentare politiche sociali innovative,</w:t>
      </w:r>
      <w:r>
        <w:rPr>
          <w:sz w:val="18"/>
          <w:szCs w:val="18"/>
        </w:rPr>
        <w:t xml:space="preserve"> Quaderni dell’Osservatorio n.19, 2015.</w:t>
      </w:r>
    </w:p>
    <w:p w14:paraId="00000037" w14:textId="77777777" w:rsidR="00B97DE3" w:rsidRDefault="00810BA5">
      <w:pPr>
        <w:spacing w:after="60" w:line="240" w:lineRule="auto"/>
        <w:ind w:left="284" w:hanging="284"/>
        <w:rPr>
          <w:smallCaps/>
          <w:sz w:val="18"/>
          <w:szCs w:val="18"/>
        </w:rPr>
      </w:pPr>
      <w:r>
        <w:rPr>
          <w:smallCaps/>
          <w:sz w:val="18"/>
          <w:szCs w:val="18"/>
        </w:rPr>
        <w:t xml:space="preserve">Cabinet Office </w:t>
      </w:r>
      <w:proofErr w:type="spellStart"/>
      <w:r>
        <w:rPr>
          <w:smallCaps/>
          <w:sz w:val="18"/>
          <w:szCs w:val="18"/>
        </w:rPr>
        <w:t>Behavioural</w:t>
      </w:r>
      <w:proofErr w:type="spellEnd"/>
      <w:r>
        <w:rPr>
          <w:smallCaps/>
          <w:sz w:val="18"/>
          <w:szCs w:val="18"/>
        </w:rPr>
        <w:t xml:space="preserve"> Insights Team, </w:t>
      </w:r>
      <w:r>
        <w:rPr>
          <w:i/>
          <w:sz w:val="18"/>
          <w:szCs w:val="18"/>
        </w:rPr>
        <w:t xml:space="preserve">Test, </w:t>
      </w:r>
      <w:proofErr w:type="spellStart"/>
      <w:r>
        <w:rPr>
          <w:i/>
          <w:sz w:val="18"/>
          <w:szCs w:val="18"/>
        </w:rPr>
        <w:t>Learn</w:t>
      </w:r>
      <w:proofErr w:type="spellEnd"/>
      <w:r>
        <w:rPr>
          <w:i/>
          <w:sz w:val="18"/>
          <w:szCs w:val="18"/>
        </w:rPr>
        <w:t xml:space="preserve">, </w:t>
      </w:r>
      <w:proofErr w:type="spellStart"/>
      <w:r>
        <w:rPr>
          <w:i/>
          <w:sz w:val="18"/>
          <w:szCs w:val="18"/>
        </w:rPr>
        <w:t>Adapt</w:t>
      </w:r>
      <w:proofErr w:type="spellEnd"/>
      <w:r>
        <w:rPr>
          <w:i/>
          <w:sz w:val="18"/>
          <w:szCs w:val="18"/>
        </w:rPr>
        <w:t xml:space="preserve">: </w:t>
      </w:r>
      <w:proofErr w:type="spellStart"/>
      <w:r>
        <w:rPr>
          <w:i/>
          <w:sz w:val="18"/>
          <w:szCs w:val="18"/>
        </w:rPr>
        <w:t>Developing</w:t>
      </w:r>
      <w:proofErr w:type="spellEnd"/>
      <w:r>
        <w:rPr>
          <w:i/>
          <w:sz w:val="18"/>
          <w:szCs w:val="18"/>
        </w:rPr>
        <w:t xml:space="preserve"> Public Policy with </w:t>
      </w:r>
      <w:proofErr w:type="spellStart"/>
      <w:r>
        <w:rPr>
          <w:i/>
          <w:sz w:val="18"/>
          <w:szCs w:val="18"/>
        </w:rPr>
        <w:t>Randomised</w:t>
      </w:r>
      <w:proofErr w:type="spellEnd"/>
      <w:r>
        <w:rPr>
          <w:i/>
          <w:sz w:val="18"/>
          <w:szCs w:val="18"/>
        </w:rPr>
        <w:t xml:space="preserve"> </w:t>
      </w:r>
      <w:proofErr w:type="spellStart"/>
      <w:r>
        <w:rPr>
          <w:i/>
          <w:sz w:val="18"/>
          <w:szCs w:val="18"/>
        </w:rPr>
        <w:t>Controlled</w:t>
      </w:r>
      <w:proofErr w:type="spellEnd"/>
      <w:r>
        <w:rPr>
          <w:i/>
          <w:sz w:val="18"/>
          <w:szCs w:val="18"/>
        </w:rPr>
        <w:t xml:space="preserve"> Trials,</w:t>
      </w:r>
      <w:r>
        <w:rPr>
          <w:sz w:val="18"/>
          <w:szCs w:val="18"/>
        </w:rPr>
        <w:t xml:space="preserve"> 2012.</w:t>
      </w:r>
    </w:p>
    <w:p w14:paraId="00000039" w14:textId="77777777" w:rsidR="00B97DE3" w:rsidRDefault="00810BA5">
      <w:pPr>
        <w:spacing w:before="240" w:after="120"/>
        <w:rPr>
          <w:b/>
          <w:i/>
          <w:sz w:val="18"/>
          <w:szCs w:val="18"/>
        </w:rPr>
      </w:pPr>
      <w:r>
        <w:rPr>
          <w:b/>
          <w:i/>
          <w:sz w:val="18"/>
          <w:szCs w:val="18"/>
        </w:rPr>
        <w:t>DIDATTICA DEL CORSO</w:t>
      </w:r>
    </w:p>
    <w:p w14:paraId="0000003A" w14:textId="77777777" w:rsidR="00B97DE3" w:rsidRDefault="00810BA5">
      <w:pPr>
        <w:pBdr>
          <w:top w:val="nil"/>
          <w:left w:val="nil"/>
          <w:bottom w:val="nil"/>
          <w:right w:val="nil"/>
          <w:between w:val="nil"/>
        </w:pBdr>
        <w:spacing w:line="220" w:lineRule="auto"/>
        <w:ind w:firstLine="284"/>
        <w:rPr>
          <w:color w:val="000000"/>
          <w:sz w:val="18"/>
          <w:szCs w:val="18"/>
        </w:rPr>
      </w:pPr>
      <w:r>
        <w:rPr>
          <w:color w:val="000000"/>
          <w:sz w:val="18"/>
          <w:szCs w:val="18"/>
        </w:rPr>
        <w:t xml:space="preserve">Il corso si svolgerà attraverso lezioni frontali in aula accompagnate da lavori pratici guidati, a gruppi, incentrati sulla progettazione e valutazione. </w:t>
      </w:r>
    </w:p>
    <w:p w14:paraId="0000003B" w14:textId="77777777" w:rsidR="00B97DE3" w:rsidRDefault="00B97DE3">
      <w:pPr>
        <w:pBdr>
          <w:top w:val="nil"/>
          <w:left w:val="nil"/>
          <w:bottom w:val="nil"/>
          <w:right w:val="nil"/>
          <w:between w:val="nil"/>
        </w:pBdr>
        <w:spacing w:line="220" w:lineRule="auto"/>
        <w:ind w:firstLine="284"/>
        <w:rPr>
          <w:i/>
          <w:color w:val="000000"/>
          <w:sz w:val="18"/>
          <w:szCs w:val="18"/>
        </w:rPr>
      </w:pPr>
    </w:p>
    <w:p w14:paraId="0000003C" w14:textId="77777777" w:rsidR="00B97DE3" w:rsidRDefault="00810BA5">
      <w:pPr>
        <w:pBdr>
          <w:top w:val="nil"/>
          <w:left w:val="nil"/>
          <w:bottom w:val="nil"/>
          <w:right w:val="nil"/>
          <w:between w:val="nil"/>
        </w:pBdr>
        <w:spacing w:line="220" w:lineRule="auto"/>
        <w:ind w:firstLine="284"/>
        <w:rPr>
          <w:color w:val="000000"/>
          <w:sz w:val="18"/>
          <w:szCs w:val="18"/>
        </w:rPr>
      </w:pPr>
      <w:r>
        <w:rPr>
          <w:i/>
          <w:color w:val="000000"/>
          <w:sz w:val="18"/>
          <w:szCs w:val="18"/>
        </w:rPr>
        <w:t>Frequenza</w:t>
      </w:r>
      <w:r>
        <w:rPr>
          <w:color w:val="000000"/>
          <w:sz w:val="18"/>
          <w:szCs w:val="18"/>
        </w:rPr>
        <w:t>: la frequenza in diretta da parte degli studenti è obbligatoria per l'80% delle lezioni. Eventuali difficoltà a frequentare vanno segnalate al docente titolare del Laboratorio, che, laddove possibile, potrà definire con lo studente modalità alternative.</w:t>
      </w:r>
    </w:p>
    <w:p w14:paraId="0000003D" w14:textId="77777777" w:rsidR="00B97DE3" w:rsidRDefault="00810BA5">
      <w:pPr>
        <w:spacing w:before="240" w:after="120"/>
        <w:rPr>
          <w:b/>
          <w:i/>
          <w:sz w:val="18"/>
          <w:szCs w:val="18"/>
        </w:rPr>
      </w:pPr>
      <w:r>
        <w:rPr>
          <w:b/>
          <w:i/>
          <w:sz w:val="18"/>
          <w:szCs w:val="18"/>
        </w:rPr>
        <w:t>METODO E CRITERI DI VALUTAZIONE</w:t>
      </w:r>
    </w:p>
    <w:p w14:paraId="0000003E" w14:textId="77777777" w:rsidR="00B97DE3" w:rsidRDefault="00810BA5">
      <w:pPr>
        <w:pBdr>
          <w:top w:val="nil"/>
          <w:left w:val="nil"/>
          <w:bottom w:val="nil"/>
          <w:right w:val="nil"/>
          <w:between w:val="nil"/>
        </w:pBdr>
        <w:spacing w:line="220" w:lineRule="auto"/>
        <w:ind w:firstLine="284"/>
        <w:rPr>
          <w:color w:val="000000"/>
          <w:sz w:val="18"/>
          <w:szCs w:val="18"/>
        </w:rPr>
      </w:pPr>
      <w:r>
        <w:rPr>
          <w:color w:val="000000"/>
          <w:sz w:val="18"/>
          <w:szCs w:val="18"/>
        </w:rPr>
        <w:t xml:space="preserve">La valutazione, che terrà conto della partecipazione attiva dello studente durante le lezioni in aula, prevederà un </w:t>
      </w:r>
      <w:proofErr w:type="spellStart"/>
      <w:r>
        <w:rPr>
          <w:color w:val="000000"/>
          <w:sz w:val="18"/>
          <w:szCs w:val="18"/>
        </w:rPr>
        <w:t>assignment</w:t>
      </w:r>
      <w:proofErr w:type="spellEnd"/>
      <w:r>
        <w:rPr>
          <w:color w:val="000000"/>
          <w:sz w:val="18"/>
          <w:szCs w:val="18"/>
        </w:rPr>
        <w:t xml:space="preserve"> finale scritto. Sulla base di bozze progettuali e di simulazioni di situazioni quotidiane nella vita di un’organizzazione non profit, l’esame mirerà a determinare il grado di apprendimento dello studente dei concetti e degli strumenti illustrati e, soprattutto, lo sviluppo di un pensiero critico sugli stessi. </w:t>
      </w:r>
    </w:p>
    <w:p w14:paraId="0000003F" w14:textId="77777777" w:rsidR="00B97DE3" w:rsidRDefault="00810BA5">
      <w:pPr>
        <w:spacing w:before="240" w:after="120" w:line="240" w:lineRule="auto"/>
        <w:rPr>
          <w:b/>
          <w:i/>
          <w:sz w:val="18"/>
          <w:szCs w:val="18"/>
        </w:rPr>
      </w:pPr>
      <w:r>
        <w:rPr>
          <w:b/>
          <w:i/>
          <w:sz w:val="18"/>
          <w:szCs w:val="18"/>
        </w:rPr>
        <w:t>AVVERTENZE E PREREQUISITI</w:t>
      </w:r>
    </w:p>
    <w:p w14:paraId="00000040" w14:textId="77777777" w:rsidR="00B97DE3" w:rsidRDefault="00810BA5">
      <w:pPr>
        <w:pBdr>
          <w:top w:val="nil"/>
          <w:left w:val="nil"/>
          <w:bottom w:val="nil"/>
          <w:right w:val="nil"/>
          <w:between w:val="nil"/>
        </w:pBdr>
        <w:spacing w:line="220" w:lineRule="auto"/>
        <w:ind w:firstLine="284"/>
        <w:rPr>
          <w:color w:val="000000"/>
          <w:sz w:val="18"/>
          <w:szCs w:val="18"/>
        </w:rPr>
      </w:pPr>
      <w:r>
        <w:rPr>
          <w:color w:val="000000"/>
          <w:sz w:val="18"/>
          <w:szCs w:val="18"/>
        </w:rPr>
        <w:t>Gli studenti dovranno possedere conoscenze di base sul ciclo del progetto (PCM) e avere una buona padronanza dell'inglese.</w:t>
      </w:r>
    </w:p>
    <w:p w14:paraId="00000043" w14:textId="77777777" w:rsidR="00B97DE3" w:rsidRDefault="00810BA5">
      <w:pPr>
        <w:pBdr>
          <w:top w:val="nil"/>
          <w:left w:val="nil"/>
          <w:bottom w:val="nil"/>
          <w:right w:val="nil"/>
          <w:between w:val="nil"/>
        </w:pBdr>
        <w:spacing w:before="120" w:line="220" w:lineRule="auto"/>
        <w:ind w:firstLine="284"/>
        <w:rPr>
          <w:i/>
          <w:color w:val="000000"/>
          <w:sz w:val="18"/>
          <w:szCs w:val="18"/>
        </w:rPr>
      </w:pPr>
      <w:r>
        <w:rPr>
          <w:i/>
          <w:color w:val="000000"/>
          <w:sz w:val="18"/>
          <w:szCs w:val="18"/>
        </w:rPr>
        <w:t>Orario e luogo di ricevimento</w:t>
      </w:r>
    </w:p>
    <w:p w14:paraId="00000044" w14:textId="77777777" w:rsidR="00B97DE3" w:rsidRDefault="00810BA5">
      <w:pPr>
        <w:pBdr>
          <w:top w:val="nil"/>
          <w:left w:val="nil"/>
          <w:bottom w:val="nil"/>
          <w:right w:val="nil"/>
          <w:between w:val="nil"/>
        </w:pBdr>
        <w:spacing w:line="220" w:lineRule="auto"/>
        <w:ind w:firstLine="284"/>
        <w:rPr>
          <w:color w:val="000000"/>
          <w:sz w:val="18"/>
          <w:szCs w:val="18"/>
        </w:rPr>
      </w:pPr>
      <w:r>
        <w:rPr>
          <w:color w:val="000000"/>
          <w:sz w:val="18"/>
          <w:szCs w:val="18"/>
        </w:rPr>
        <w:t xml:space="preserve">Il docente riceve gli studenti previo appuntamento via e-mail (Simone Castello: </w:t>
      </w:r>
      <w:r>
        <w:rPr>
          <w:i/>
          <w:color w:val="000000"/>
          <w:sz w:val="18"/>
          <w:szCs w:val="18"/>
        </w:rPr>
        <w:t>simone.castello1@unicatt.it,</w:t>
      </w:r>
      <w:r>
        <w:rPr>
          <w:color w:val="000000"/>
          <w:sz w:val="18"/>
          <w:szCs w:val="18"/>
        </w:rPr>
        <w:t xml:space="preserve"> </w:t>
      </w:r>
      <w:r>
        <w:rPr>
          <w:i/>
          <w:color w:val="000000"/>
          <w:sz w:val="18"/>
          <w:szCs w:val="18"/>
        </w:rPr>
        <w:t>s.castello86@gmail.com</w:t>
      </w:r>
      <w:r>
        <w:rPr>
          <w:color w:val="000000"/>
          <w:sz w:val="18"/>
          <w:szCs w:val="18"/>
        </w:rPr>
        <w:t>).</w:t>
      </w:r>
    </w:p>
    <w:sectPr w:rsidR="00B97DE3">
      <w:pgSz w:w="11906" w:h="16838"/>
      <w:pgMar w:top="3515" w:right="2608" w:bottom="27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2151" w14:textId="77777777" w:rsidR="00826EE8" w:rsidRDefault="00826EE8" w:rsidP="00826EE8">
      <w:pPr>
        <w:spacing w:line="240" w:lineRule="auto"/>
      </w:pPr>
      <w:r>
        <w:separator/>
      </w:r>
    </w:p>
  </w:endnote>
  <w:endnote w:type="continuationSeparator" w:id="0">
    <w:p w14:paraId="382F6EB0" w14:textId="77777777" w:rsidR="00826EE8" w:rsidRDefault="00826EE8" w:rsidP="00826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6FF8" w14:textId="77777777" w:rsidR="00826EE8" w:rsidRDefault="00826EE8" w:rsidP="00826EE8">
      <w:pPr>
        <w:spacing w:line="240" w:lineRule="auto"/>
      </w:pPr>
      <w:r>
        <w:separator/>
      </w:r>
    </w:p>
  </w:footnote>
  <w:footnote w:type="continuationSeparator" w:id="0">
    <w:p w14:paraId="2B20587B" w14:textId="77777777" w:rsidR="00826EE8" w:rsidRDefault="00826EE8" w:rsidP="00826EE8">
      <w:pPr>
        <w:spacing w:line="240" w:lineRule="auto"/>
      </w:pPr>
      <w:r>
        <w:continuationSeparator/>
      </w:r>
    </w:p>
  </w:footnote>
  <w:footnote w:id="1">
    <w:p w14:paraId="4113CA38" w14:textId="29FB2508" w:rsidR="00826EE8" w:rsidRDefault="00826EE8">
      <w:pPr>
        <w:pStyle w:val="Testonotaapidipagina"/>
      </w:pPr>
      <w:r>
        <w:rPr>
          <w:rStyle w:val="Rimandonotaapidipagina"/>
        </w:rPr>
        <w:footnoteRef/>
      </w:r>
      <w:r>
        <w:t xml:space="preserve"> </w:t>
      </w:r>
      <w:bookmarkStart w:id="0" w:name="_Hlk139289320"/>
      <w:bookmarkStart w:id="1" w:name="_Hlk139289469"/>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4D1F"/>
    <w:multiLevelType w:val="multilevel"/>
    <w:tmpl w:val="A6524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132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E3"/>
    <w:rsid w:val="00810BA5"/>
    <w:rsid w:val="00826EE8"/>
    <w:rsid w:val="00B97DE3"/>
    <w:rsid w:val="00E77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ADD"/>
  <w15:docId w15:val="{5C83F62C-8386-43D3-B45A-E2D27D23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7557"/>
    <w:pPr>
      <w:spacing w:line="220" w:lineRule="exact"/>
    </w:pPr>
    <w:rPr>
      <w:szCs w:val="24"/>
    </w:rPr>
  </w:style>
  <w:style w:type="paragraph" w:styleId="Titolo1">
    <w:name w:val="heading 1"/>
    <w:next w:val="Titolo2"/>
    <w:link w:val="Titolo1Carattere"/>
    <w:uiPriority w:val="9"/>
    <w:qFormat/>
    <w:rsid w:val="00E607E6"/>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
    <w:unhideWhenUsed/>
    <w:qFormat/>
    <w:rsid w:val="00E607E6"/>
    <w:pPr>
      <w:spacing w:line="240" w:lineRule="exact"/>
      <w:outlineLvl w:val="1"/>
    </w:pPr>
    <w:rPr>
      <w:rFonts w:ascii="Times" w:hAnsi="Times"/>
      <w:smallCaps/>
      <w:noProof/>
      <w:sz w:val="18"/>
    </w:rPr>
  </w:style>
  <w:style w:type="paragraph" w:styleId="Titolo3">
    <w:name w:val="heading 3"/>
    <w:next w:val="Normale"/>
    <w:uiPriority w:val="9"/>
    <w:semiHidden/>
    <w:unhideWhenUsed/>
    <w:qFormat/>
    <w:rsid w:val="00A74F6F"/>
    <w:pPr>
      <w:spacing w:before="240" w:after="120" w:line="240" w:lineRule="exact"/>
      <w:ind w:left="284" w:hanging="284"/>
      <w:outlineLvl w:val="2"/>
    </w:pPr>
    <w:rPr>
      <w:rFonts w:ascii="Times" w:hAnsi="Times"/>
      <w:i/>
      <w:caps/>
      <w:noProof/>
      <w:sz w:val="1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pPr>
    <w:rPr>
      <w:rFonts w:ascii="Times" w:hAnsi="Times"/>
      <w:noProof/>
      <w:sz w:val="18"/>
    </w:rPr>
  </w:style>
  <w:style w:type="paragraph" w:customStyle="1" w:styleId="Testo2">
    <w:name w:val="Testo 2"/>
    <w:rsid w:val="00900CCA"/>
    <w:pPr>
      <w:spacing w:line="220" w:lineRule="exact"/>
      <w:ind w:firstLine="284"/>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514A1"/>
    <w:pPr>
      <w:tabs>
        <w:tab w:val="clear" w:pos="284"/>
      </w:tabs>
      <w:spacing w:before="100" w:beforeAutospacing="1" w:after="100" w:afterAutospacing="1" w:line="240" w:lineRule="auto"/>
      <w:jc w:val="left"/>
    </w:pPr>
    <w:rPr>
      <w:sz w:val="24"/>
    </w:rPr>
  </w:style>
  <w:style w:type="character" w:styleId="Collegamentoipertestuale">
    <w:name w:val="Hyperlink"/>
    <w:uiPriority w:val="99"/>
    <w:unhideWhenUsed/>
    <w:rsid w:val="00D514A1"/>
    <w:rPr>
      <w:color w:val="0000FF"/>
      <w:u w:val="single"/>
    </w:rPr>
  </w:style>
  <w:style w:type="paragraph" w:styleId="Paragrafoelenco">
    <w:name w:val="List Paragraph"/>
    <w:basedOn w:val="Normale"/>
    <w:uiPriority w:val="34"/>
    <w:qFormat/>
    <w:rsid w:val="00E27C2D"/>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826EE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826EE8"/>
  </w:style>
  <w:style w:type="character" w:styleId="Rimandonotaapidipagina">
    <w:name w:val="footnote reference"/>
    <w:basedOn w:val="Carpredefinitoparagrafo"/>
    <w:uiPriority w:val="99"/>
    <w:semiHidden/>
    <w:unhideWhenUsed/>
    <w:rsid w:val="00826EE8"/>
    <w:rPr>
      <w:vertAlign w:val="superscript"/>
    </w:rPr>
  </w:style>
  <w:style w:type="character" w:styleId="Menzionenonrisolta">
    <w:name w:val="Unresolved Mention"/>
    <w:basedOn w:val="Carpredefinitoparagrafo"/>
    <w:uiPriority w:val="99"/>
    <w:semiHidden/>
    <w:unhideWhenUsed/>
    <w:rsid w:val="00826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ibrerie.unicatt.it/scheda-libro/simone-castello-urszula-swierczynska/filantropia-20-istruzioni-per-luso-dalle-buone-intenzioni-ai-grandi-risultati-9788835120278-70267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2fLEtIxAhhtwfN32pMW3iORV1A==">CgMxLjA4AHIhMW9iQ0RUNGctNHQzVE1fNHgtYkdwcHRQZC1fRUlwb0pm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AA67EDD-CDB9-484C-BCC9-81BE6514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dcterms:created xsi:type="dcterms:W3CDTF">2023-06-21T11:51:00Z</dcterms:created>
  <dcterms:modified xsi:type="dcterms:W3CDTF">2023-07-03T13:20:00Z</dcterms:modified>
</cp:coreProperties>
</file>