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1B4A" w14:textId="77777777" w:rsidR="002D5E17" w:rsidRDefault="003864DA" w:rsidP="002D5E17">
      <w:pPr>
        <w:pStyle w:val="Titolo1"/>
      </w:pPr>
      <w:r>
        <w:t>Economia, istituzioni e mercati finanziari</w:t>
      </w:r>
    </w:p>
    <w:p w14:paraId="429BA785" w14:textId="77777777" w:rsidR="003864DA" w:rsidRDefault="003864DA" w:rsidP="003864DA">
      <w:pPr>
        <w:pStyle w:val="Titolo2"/>
      </w:pPr>
      <w:r>
        <w:t>Prof. Enzo Dia</w:t>
      </w:r>
    </w:p>
    <w:p w14:paraId="687677A6" w14:textId="77777777" w:rsidR="003864DA" w:rsidRDefault="003864DA" w:rsidP="003864DA">
      <w:pPr>
        <w:spacing w:before="240" w:after="120" w:line="240" w:lineRule="exact"/>
        <w:rPr>
          <w:b/>
          <w:sz w:val="18"/>
        </w:rPr>
      </w:pPr>
      <w:r>
        <w:rPr>
          <w:b/>
          <w:i/>
          <w:sz w:val="18"/>
        </w:rPr>
        <w:t>OBIETTIVO DEL CORSO E RISULTATI DI APPRENDIMENTO ATTESI</w:t>
      </w:r>
    </w:p>
    <w:p w14:paraId="23D90F72" w14:textId="77777777" w:rsidR="007C6409" w:rsidRPr="007C6409" w:rsidRDefault="007C6409" w:rsidP="007C6409">
      <w:pPr>
        <w:spacing w:line="240" w:lineRule="exact"/>
        <w:rPr>
          <w:szCs w:val="20"/>
        </w:rPr>
      </w:pPr>
      <w:r w:rsidRPr="007C6409">
        <w:rPr>
          <w:szCs w:val="20"/>
        </w:rPr>
        <w:t>Il corso fornisce gli strumenti teorici per comprendere i principi di base dei fenomeni macroeconomici. Il corso analizza inoltre la natura degli intermediari finanziari e in particolare di istituzioni come le banche, la logica e i principi alla base della regolamentazione del settore, e il ruolo che tali intermediari rivestono nel sistema finanziario nel suo complesso.</w:t>
      </w:r>
    </w:p>
    <w:p w14:paraId="593250B8" w14:textId="77777777" w:rsidR="007C6409" w:rsidRPr="007C6409" w:rsidRDefault="007C6409" w:rsidP="007C6409">
      <w:pPr>
        <w:spacing w:line="240" w:lineRule="exact"/>
        <w:rPr>
          <w:szCs w:val="20"/>
        </w:rPr>
      </w:pPr>
      <w:r w:rsidRPr="007C6409">
        <w:rPr>
          <w:szCs w:val="20"/>
        </w:rPr>
        <w:t xml:space="preserve">Vengono inoltre analizzati aspetti specifici del funzionamento dei singoli mercati e forniti gli strumenti di base per comprendere l’operare dei mercati finanziari. </w:t>
      </w:r>
    </w:p>
    <w:p w14:paraId="7A4F878B" w14:textId="77777777" w:rsidR="007C6409" w:rsidRPr="007C6409" w:rsidRDefault="007C6409" w:rsidP="007C6409">
      <w:pPr>
        <w:spacing w:line="240" w:lineRule="exact"/>
        <w:rPr>
          <w:szCs w:val="20"/>
        </w:rPr>
      </w:pPr>
      <w:r w:rsidRPr="007C6409">
        <w:rPr>
          <w:szCs w:val="20"/>
        </w:rPr>
        <w:t>L’ultima parte del corso fornisce i principi di base per comprendere le analisi macroeconomiche di lungo periodo che studiano i fattori che influenzano la crescita e il ruolo della politica economica volta a smorzare gli andamenti del ciclo economico. Si studia quindi il mercato del credito nel suo complesso, considerando le diverse funzioni delle odierne banche centrali.</w:t>
      </w:r>
    </w:p>
    <w:p w14:paraId="580FE47E" w14:textId="77777777" w:rsidR="007C6409" w:rsidRPr="007C6409" w:rsidRDefault="007C6409" w:rsidP="007C6409">
      <w:pPr>
        <w:spacing w:line="240" w:lineRule="exact"/>
        <w:rPr>
          <w:szCs w:val="20"/>
        </w:rPr>
      </w:pPr>
      <w:r w:rsidRPr="007C6409">
        <w:rPr>
          <w:szCs w:val="20"/>
        </w:rPr>
        <w:t>Il corso è disegnato in funzione delle esigenze di un corso di laurea rivolto a studenti che studiano la cooperazione allo sviluppo ed è concepito per fornire un ampio set di strumenti a studenti che hanno un background eterogeneo.</w:t>
      </w:r>
    </w:p>
    <w:p w14:paraId="74BD9F7F" w14:textId="77777777" w:rsidR="007C6409" w:rsidRPr="007C6409" w:rsidRDefault="007C6409" w:rsidP="007C6409">
      <w:pPr>
        <w:spacing w:line="240" w:lineRule="exact"/>
        <w:rPr>
          <w:szCs w:val="20"/>
        </w:rPr>
      </w:pPr>
      <w:r w:rsidRPr="007C6409">
        <w:rPr>
          <w:szCs w:val="20"/>
        </w:rPr>
        <w:t>Al termine dell’insegnamento, lo studente sarà in grado di comprendere i problemi economici rilevanti dei paesi in via di sviluppo e di analizzare a fondo gli aspetti istituzionali e i processi politici che influenzano in modo rilevante lo sviluppo dei paesi.</w:t>
      </w:r>
    </w:p>
    <w:p w14:paraId="299CB04B" w14:textId="77777777" w:rsidR="003864DA" w:rsidRDefault="003864DA" w:rsidP="003864DA">
      <w:pPr>
        <w:spacing w:before="240" w:after="120" w:line="240" w:lineRule="exact"/>
        <w:rPr>
          <w:b/>
          <w:sz w:val="18"/>
        </w:rPr>
      </w:pPr>
      <w:r>
        <w:rPr>
          <w:b/>
          <w:i/>
          <w:sz w:val="18"/>
        </w:rPr>
        <w:t>PROGRAMMA DEL CORSO</w:t>
      </w:r>
    </w:p>
    <w:p w14:paraId="7B23E91C" w14:textId="77777777" w:rsidR="007C6409" w:rsidRDefault="007C6409" w:rsidP="007C6409">
      <w:pPr>
        <w:rPr>
          <w:i/>
        </w:rPr>
      </w:pPr>
      <w:r>
        <w:t>1.</w:t>
      </w:r>
      <w:r>
        <w:tab/>
      </w:r>
      <w:r w:rsidRPr="006F21E1">
        <w:rPr>
          <w:i/>
        </w:rPr>
        <w:t xml:space="preserve">L’evoluzione e il ruolo delle istituzioni finanziarie </w:t>
      </w:r>
    </w:p>
    <w:p w14:paraId="07BDE709" w14:textId="77777777" w:rsidR="007C6409" w:rsidRPr="000E41A7" w:rsidRDefault="007C6409" w:rsidP="007C6409">
      <w:pPr>
        <w:ind w:left="284" w:hanging="284"/>
      </w:pPr>
      <w:r>
        <w:t>–</w:t>
      </w:r>
      <w:r>
        <w:tab/>
      </w:r>
      <w:r w:rsidRPr="000E41A7">
        <w:t xml:space="preserve">La natura delle regole e delle istituzioni che caratterizzano un'economia di </w:t>
      </w:r>
      <w:r>
        <w:t>mercato.</w:t>
      </w:r>
    </w:p>
    <w:p w14:paraId="1B54FDAB" w14:textId="77777777" w:rsidR="007C6409" w:rsidRPr="000E41A7" w:rsidRDefault="007C6409" w:rsidP="007C6409">
      <w:r>
        <w:t>–</w:t>
      </w:r>
      <w:r>
        <w:tab/>
      </w:r>
      <w:r w:rsidRPr="000E41A7">
        <w:t>Il ruolo e l'origine della moneta</w:t>
      </w:r>
      <w:r>
        <w:t>.</w:t>
      </w:r>
    </w:p>
    <w:p w14:paraId="269441D8" w14:textId="77777777" w:rsidR="007C6409" w:rsidRPr="000E41A7" w:rsidRDefault="007C6409" w:rsidP="007C6409">
      <w:r>
        <w:t>–</w:t>
      </w:r>
      <w:r>
        <w:tab/>
      </w:r>
      <w:r w:rsidRPr="000E41A7">
        <w:t>Le origini delle banche</w:t>
      </w:r>
      <w:r>
        <w:t>.</w:t>
      </w:r>
    </w:p>
    <w:p w14:paraId="20AEC234" w14:textId="77777777" w:rsidR="007C6409" w:rsidRDefault="007C6409" w:rsidP="007C6409">
      <w:r>
        <w:t>–</w:t>
      </w:r>
      <w:r>
        <w:tab/>
      </w:r>
      <w:r w:rsidRPr="000E41A7">
        <w:t>Le origini delle banche centrali.</w:t>
      </w:r>
    </w:p>
    <w:p w14:paraId="6B62E0C8" w14:textId="77777777" w:rsidR="007C6409" w:rsidRDefault="007C6409" w:rsidP="007C6409">
      <w:pPr>
        <w:rPr>
          <w:i/>
        </w:rPr>
      </w:pPr>
      <w:r>
        <w:t>2.</w:t>
      </w:r>
      <w:r>
        <w:tab/>
      </w:r>
      <w:r w:rsidR="006F21E1" w:rsidRPr="006F21E1">
        <w:rPr>
          <w:i/>
        </w:rPr>
        <w:t>Imprese,</w:t>
      </w:r>
      <w:r w:rsidR="006F21E1">
        <w:t xml:space="preserve"> </w:t>
      </w:r>
      <w:r w:rsidR="006F21E1">
        <w:rPr>
          <w:i/>
        </w:rPr>
        <w:t>b</w:t>
      </w:r>
      <w:r w:rsidRPr="007C6409">
        <w:rPr>
          <w:i/>
        </w:rPr>
        <w:t>anche e mercati finanziari</w:t>
      </w:r>
    </w:p>
    <w:p w14:paraId="461275EB" w14:textId="77777777" w:rsidR="006F21E1" w:rsidRPr="000E41A7" w:rsidRDefault="006F21E1" w:rsidP="006F21E1">
      <w:r>
        <w:t>–</w:t>
      </w:r>
      <w:r>
        <w:tab/>
      </w:r>
      <w:r w:rsidRPr="000E41A7">
        <w:t>Il contratto di debito e il rischio di insolvenza</w:t>
      </w:r>
    </w:p>
    <w:p w14:paraId="4D4281A7" w14:textId="77777777" w:rsidR="006F21E1" w:rsidRDefault="006F21E1" w:rsidP="006F21E1">
      <w:r>
        <w:t>–</w:t>
      </w:r>
      <w:r>
        <w:tab/>
      </w:r>
      <w:r w:rsidRPr="000E41A7">
        <w:t>Investimen</w:t>
      </w:r>
      <w:r>
        <w:t>ti, debiti e tassi di interesse.</w:t>
      </w:r>
    </w:p>
    <w:p w14:paraId="0B74AFE0" w14:textId="77777777" w:rsidR="006F21E1" w:rsidRPr="000E41A7" w:rsidRDefault="006F21E1" w:rsidP="006F21E1">
      <w:r w:rsidRPr="000E41A7">
        <w:t>–</w:t>
      </w:r>
      <w:r w:rsidRPr="000E41A7">
        <w:tab/>
      </w:r>
      <w:r>
        <w:t>Le società di capitali</w:t>
      </w:r>
    </w:p>
    <w:p w14:paraId="168BCD70" w14:textId="77777777" w:rsidR="006F21E1" w:rsidRPr="000E41A7" w:rsidRDefault="006F21E1" w:rsidP="006F21E1">
      <w:r>
        <w:t>–</w:t>
      </w:r>
      <w:r>
        <w:tab/>
      </w:r>
      <w:r w:rsidRPr="000E41A7">
        <w:t>Azioni e obbligazioni</w:t>
      </w:r>
      <w:r>
        <w:t>.</w:t>
      </w:r>
    </w:p>
    <w:p w14:paraId="0C5509D9" w14:textId="77777777" w:rsidR="007C6409" w:rsidRPr="000E41A7" w:rsidRDefault="007C6409" w:rsidP="007C6409">
      <w:r w:rsidRPr="000E41A7">
        <w:t>–</w:t>
      </w:r>
      <w:r w:rsidRPr="000E41A7">
        <w:tab/>
        <w:t xml:space="preserve">Il rischio di liquidità e i bank </w:t>
      </w:r>
      <w:proofErr w:type="spellStart"/>
      <w:r w:rsidRPr="000E41A7">
        <w:t>run</w:t>
      </w:r>
      <w:proofErr w:type="spellEnd"/>
      <w:r>
        <w:t>.</w:t>
      </w:r>
    </w:p>
    <w:p w14:paraId="35677A3D" w14:textId="77777777" w:rsidR="007C6409" w:rsidRPr="000E41A7" w:rsidRDefault="007C6409" w:rsidP="007C6409">
      <w:r w:rsidRPr="000E41A7">
        <w:t>–</w:t>
      </w:r>
      <w:r w:rsidRPr="000E41A7">
        <w:tab/>
        <w:t>Il ruolo del capitale nelle banche</w:t>
      </w:r>
    </w:p>
    <w:p w14:paraId="5DC936AC" w14:textId="77777777" w:rsidR="006F21E1" w:rsidRDefault="007C6409" w:rsidP="006F21E1">
      <w:r w:rsidRPr="000E41A7">
        <w:t>–</w:t>
      </w:r>
      <w:r w:rsidRPr="000E41A7">
        <w:tab/>
        <w:t>Il microcredito</w:t>
      </w:r>
    </w:p>
    <w:p w14:paraId="2FFC8DD5" w14:textId="77777777" w:rsidR="007C6409" w:rsidRDefault="007C6409" w:rsidP="007C6409">
      <w:r>
        <w:lastRenderedPageBreak/>
        <w:t>3.</w:t>
      </w:r>
      <w:r>
        <w:tab/>
      </w:r>
      <w:r w:rsidRPr="007C6409">
        <w:rPr>
          <w:i/>
        </w:rPr>
        <w:t>La macroeconomia e le istituzioni</w:t>
      </w:r>
      <w:r w:rsidRPr="000E41A7">
        <w:t xml:space="preserve"> </w:t>
      </w:r>
    </w:p>
    <w:p w14:paraId="708243FA" w14:textId="77777777" w:rsidR="007C6409" w:rsidRPr="000E41A7" w:rsidRDefault="007C6409" w:rsidP="007C6409">
      <w:r w:rsidRPr="000E41A7">
        <w:t>–</w:t>
      </w:r>
      <w:r w:rsidRPr="000E41A7">
        <w:tab/>
        <w:t>Il prodo</w:t>
      </w:r>
      <w:r w:rsidR="006F21E1">
        <w:t>tto interno lordo e la crescita</w:t>
      </w:r>
    </w:p>
    <w:p w14:paraId="5076AEA1" w14:textId="77777777" w:rsidR="007C6409" w:rsidRPr="000E41A7" w:rsidRDefault="007C6409" w:rsidP="007C6409">
      <w:r>
        <w:t>–</w:t>
      </w:r>
      <w:r>
        <w:tab/>
      </w:r>
      <w:r w:rsidRPr="000E41A7">
        <w:t>Il debito pubblico e la politica fiscale</w:t>
      </w:r>
    </w:p>
    <w:p w14:paraId="74162409" w14:textId="77777777" w:rsidR="007C6409" w:rsidRDefault="007C6409" w:rsidP="007C6409">
      <w:r>
        <w:t>–</w:t>
      </w:r>
      <w:r>
        <w:tab/>
      </w:r>
      <w:r w:rsidRPr="000E41A7">
        <w:t>La politica monetaria e la banca centrale</w:t>
      </w:r>
    </w:p>
    <w:p w14:paraId="10716D66" w14:textId="77777777" w:rsidR="004343C5" w:rsidRPr="000E41A7" w:rsidRDefault="004343C5" w:rsidP="004343C5">
      <w:r>
        <w:t>–</w:t>
      </w:r>
      <w:r>
        <w:tab/>
        <w:t>I tassi di cambio</w:t>
      </w:r>
      <w:r w:rsidRPr="000E41A7">
        <w:t xml:space="preserve"> </w:t>
      </w:r>
      <w:r w:rsidR="006F21E1">
        <w:t>e i regimi valutari</w:t>
      </w:r>
    </w:p>
    <w:p w14:paraId="6A7EACE8" w14:textId="77777777" w:rsidR="007C6409" w:rsidRPr="000E41A7" w:rsidRDefault="007C6409" w:rsidP="007C6409">
      <w:r>
        <w:t>–</w:t>
      </w:r>
      <w:r>
        <w:tab/>
      </w:r>
      <w:r w:rsidR="006F21E1">
        <w:t>La moneta comune in Europa</w:t>
      </w:r>
      <w:r w:rsidRPr="000E41A7">
        <w:t xml:space="preserve"> </w:t>
      </w:r>
    </w:p>
    <w:p w14:paraId="18BC2BBB" w14:textId="56C17F41" w:rsidR="003864DA" w:rsidRDefault="007B54E2" w:rsidP="007B54E2">
      <w:pPr>
        <w:keepNext/>
        <w:spacing w:before="240" w:after="120" w:line="240" w:lineRule="exact"/>
        <w:rPr>
          <w:b/>
          <w:sz w:val="18"/>
        </w:rPr>
      </w:pPr>
      <w:r>
        <w:rPr>
          <w:b/>
          <w:i/>
          <w:sz w:val="18"/>
        </w:rPr>
        <w:t>BIBLIOGRAFIA</w:t>
      </w:r>
      <w:r w:rsidR="000E1314">
        <w:rPr>
          <w:rStyle w:val="Rimandonotaapidipagina"/>
          <w:b/>
          <w:i/>
          <w:sz w:val="18"/>
        </w:rPr>
        <w:footnoteReference w:id="1"/>
      </w:r>
    </w:p>
    <w:p w14:paraId="05E66A8C" w14:textId="5AF8F0F3" w:rsidR="007C6409" w:rsidRPr="000E41A7" w:rsidRDefault="007C6409" w:rsidP="007C6409">
      <w:pPr>
        <w:pStyle w:val="Testo2"/>
      </w:pPr>
      <w:r w:rsidRPr="006E4525">
        <w:rPr>
          <w:smallCaps/>
          <w:lang w:val="en-GB"/>
        </w:rPr>
        <w:t xml:space="preserve">F.S. Mishkin-S.G. Eakins-G. </w:t>
      </w:r>
      <w:r w:rsidRPr="000E41A7">
        <w:rPr>
          <w:smallCaps/>
        </w:rPr>
        <w:t>Forestieri,</w:t>
      </w:r>
      <w:r w:rsidRPr="000E41A7">
        <w:rPr>
          <w:i/>
        </w:rPr>
        <w:t xml:space="preserve"> Istituzioni e Mercati Finanziari,</w:t>
      </w:r>
      <w:r w:rsidRPr="000E41A7">
        <w:t xml:space="preserve"> Pearson Prentice Hall, 2012 (capitoli selezionati).</w:t>
      </w:r>
      <w:r w:rsidR="000E1314">
        <w:t xml:space="preserve"> </w:t>
      </w:r>
      <w:hyperlink r:id="rId8" w:history="1">
        <w:r w:rsidR="000E1314" w:rsidRPr="000E1314">
          <w:rPr>
            <w:rStyle w:val="Collegamentoipertestuale"/>
            <w:rFonts w:ascii="Times New Roman" w:hAnsi="Times New Roman"/>
            <w:i/>
            <w:szCs w:val="18"/>
          </w:rPr>
          <w:t>Acquista da VP</w:t>
        </w:r>
      </w:hyperlink>
    </w:p>
    <w:p w14:paraId="73922684" w14:textId="77777777" w:rsidR="007C6409" w:rsidRPr="000E41A7" w:rsidRDefault="007C6409" w:rsidP="007C6409">
      <w:pPr>
        <w:pStyle w:val="Testo2"/>
      </w:pPr>
      <w:r w:rsidRPr="000E41A7">
        <w:t xml:space="preserve">La bibliografia è integrativa e </w:t>
      </w:r>
      <w:r>
        <w:t xml:space="preserve">il </w:t>
      </w:r>
      <w:r w:rsidRPr="000E41A7">
        <w:t>libr</w:t>
      </w:r>
      <w:r>
        <w:t>o</w:t>
      </w:r>
      <w:r w:rsidRPr="000E41A7">
        <w:t xml:space="preserve"> di testo </w:t>
      </w:r>
      <w:r>
        <w:t xml:space="preserve">non </w:t>
      </w:r>
      <w:r w:rsidRPr="000E41A7">
        <w:t xml:space="preserve">è necessario per sostenere l’esame. Il corso va preparato utilizzando le slide del corso e le dispense disponibili su </w:t>
      </w:r>
      <w:r w:rsidRPr="000E41A7">
        <w:rPr>
          <w:i/>
        </w:rPr>
        <w:t>Blackboard</w:t>
      </w:r>
      <w:r w:rsidRPr="000E41A7">
        <w:t xml:space="preserve">. </w:t>
      </w:r>
    </w:p>
    <w:p w14:paraId="48DC95DB" w14:textId="77777777" w:rsidR="007B54E2" w:rsidRDefault="007B54E2" w:rsidP="007B54E2">
      <w:pPr>
        <w:spacing w:before="240" w:after="120"/>
        <w:rPr>
          <w:b/>
          <w:i/>
          <w:sz w:val="18"/>
        </w:rPr>
      </w:pPr>
      <w:r>
        <w:rPr>
          <w:b/>
          <w:i/>
          <w:sz w:val="18"/>
        </w:rPr>
        <w:t>DIDATTICA DEL CORSO</w:t>
      </w:r>
    </w:p>
    <w:p w14:paraId="516DCECB" w14:textId="77777777" w:rsidR="007C6409" w:rsidRDefault="007C6409" w:rsidP="007C6409">
      <w:pPr>
        <w:pStyle w:val="Testo2"/>
      </w:pPr>
      <w:r w:rsidRPr="000E41A7">
        <w:t>La didattica del corso prevede lezioni frontali. Saranno utilizzate delle slide come ausilio didattico nella maggior parte delle lezioni, ma per alcuni argomenti il gesso e la lavagna sono insostituibili</w:t>
      </w:r>
    </w:p>
    <w:p w14:paraId="7CA33296" w14:textId="77777777" w:rsidR="007B54E2" w:rsidRDefault="007B54E2" w:rsidP="007B54E2">
      <w:pPr>
        <w:spacing w:before="240" w:after="120"/>
        <w:rPr>
          <w:b/>
          <w:i/>
          <w:sz w:val="18"/>
        </w:rPr>
      </w:pPr>
      <w:r>
        <w:rPr>
          <w:b/>
          <w:i/>
          <w:sz w:val="18"/>
        </w:rPr>
        <w:t>METODO E CRITERI DI VALUTAZIONE</w:t>
      </w:r>
    </w:p>
    <w:p w14:paraId="1BD89377" w14:textId="77777777" w:rsidR="00604580" w:rsidRPr="00604580" w:rsidRDefault="00604580" w:rsidP="00604580">
      <w:pPr>
        <w:pStyle w:val="Testo2"/>
      </w:pPr>
      <w:r w:rsidRPr="00604580">
        <w:t>L’esame consiste in una prova scritta. Gli studenti che raggiungono la sufficienza nella prova scritta possono scegliere di sostenere un’eventuale prova orale integrativa.</w:t>
      </w:r>
    </w:p>
    <w:p w14:paraId="5E9DF027" w14:textId="77777777" w:rsidR="00604580" w:rsidRPr="00604580" w:rsidRDefault="00604580" w:rsidP="00604580">
      <w:pPr>
        <w:pStyle w:val="Testo2"/>
      </w:pPr>
      <w:r w:rsidRPr="00604580">
        <w:t xml:space="preserve">La prova scritta può essere sostenuta in due momenti intermedi, rispettivamente attinenti la prima e la seconda parte del corso, oppure in un’unica soluzione durante gli appelli ufficiali. Le prove scritte potranno contenere domande aperte, domande chiuse, esercizi. </w:t>
      </w:r>
    </w:p>
    <w:p w14:paraId="6C1303A6" w14:textId="77777777" w:rsidR="00604580" w:rsidRPr="00604580" w:rsidRDefault="00604580" w:rsidP="00604580">
      <w:pPr>
        <w:pStyle w:val="Testo2"/>
      </w:pPr>
      <w:r w:rsidRPr="00604580">
        <w:t>La valutazione finale sarà espressa in trentesimi e terrà conto del livello di conoscenza, di comprensione, di capacità di esposizione dei temi oggetto dell’insegnamento dimostrati nel corso dell’esame. Saranno valutate non soltanto le capacità di comprensione dei problemi economici in termini di modelli ma astratti, ma specialmente la capacità di analizzare i problemi in funzione dello specifico contesto istituzionale nel quale vengono affrontati. Gli studenti devono dimostrare di aver compreso la natura fondamentale dei problemi economici dei paesi in via di sviluppo. E devono mostrare di aver capito come e per quali ragioni alcuni strumenti finanziari rappresentano delle soluzioni istituzionali efficienti e quando invece i limiti degli strumenti li rendono inadatti in certi contesti. Dovranno in particolare dimostrare di essere in grado sempre di separare gli aspetti tecnici dei problemi che derivano dalle esigenze di rendere compatibili gli incentivi di agenti diversi, dalle scelte politiche ed etiche di fondo sui quali si fondano i sistemi di regole delle istutuzioni.</w:t>
      </w:r>
    </w:p>
    <w:p w14:paraId="307FDE55" w14:textId="77777777" w:rsidR="007B54E2" w:rsidRDefault="007B54E2" w:rsidP="007B54E2">
      <w:pPr>
        <w:spacing w:before="240" w:after="120" w:line="240" w:lineRule="exact"/>
        <w:rPr>
          <w:b/>
          <w:i/>
          <w:sz w:val="18"/>
        </w:rPr>
      </w:pPr>
      <w:r>
        <w:rPr>
          <w:b/>
          <w:i/>
          <w:sz w:val="18"/>
        </w:rPr>
        <w:t>AVVERTENZE E PREREQUISITI</w:t>
      </w:r>
    </w:p>
    <w:p w14:paraId="3481336E" w14:textId="77777777" w:rsidR="00604580" w:rsidRPr="00604580" w:rsidRDefault="00604580" w:rsidP="00604580">
      <w:pPr>
        <w:pStyle w:val="Testo2"/>
      </w:pPr>
      <w:r w:rsidRPr="00604580">
        <w:lastRenderedPageBreak/>
        <w:t>Il corso è pensato per studenti che hanno un background eterogeneo, quindi gli strumenti per la comprensione del corso vengono forniti a lezione e non sono necessarie competenze specifiche pregresse.</w:t>
      </w:r>
      <w:r w:rsidR="006F21E1">
        <w:t xml:space="preserve"> Il corso fa un limitato uso di formule e grafici, ma sono spiegate in modo semplice e accessibile anche a chi non abbia studiato in passato esami che richiedono analisi matematiche.</w:t>
      </w:r>
    </w:p>
    <w:p w14:paraId="5B9EC08D" w14:textId="77777777" w:rsidR="007B54E2" w:rsidRDefault="007B54E2" w:rsidP="00604580">
      <w:pPr>
        <w:pStyle w:val="Testo2"/>
        <w:spacing w:before="120"/>
        <w:rPr>
          <w:i/>
        </w:rPr>
      </w:pPr>
      <w:r w:rsidRPr="00604580">
        <w:rPr>
          <w:i/>
        </w:rPr>
        <w:t>Orario e luogo di ricevimento</w:t>
      </w:r>
    </w:p>
    <w:p w14:paraId="66D4520C" w14:textId="77777777" w:rsidR="007B54E2" w:rsidRPr="007B54E2" w:rsidRDefault="007B54E2" w:rsidP="007B54E2">
      <w:pPr>
        <w:pStyle w:val="Testo2"/>
      </w:pPr>
      <w:r w:rsidRPr="007B54E2">
        <w:t xml:space="preserve">Il Prof. Enzo Dia comunicherà </w:t>
      </w:r>
      <w:r w:rsidR="006E4525">
        <w:t>sulla pagina Blackboard del corso</w:t>
      </w:r>
      <w:r w:rsidR="000C2956">
        <w:t xml:space="preserve"> le informazioni riguardo ad</w:t>
      </w:r>
      <w:r w:rsidRPr="007B54E2">
        <w:t xml:space="preserve"> orario e luogo di ricevimento.</w:t>
      </w:r>
    </w:p>
    <w:sectPr w:rsidR="007B54E2" w:rsidRPr="007B54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1FEE" w14:textId="77777777" w:rsidR="000E1314" w:rsidRDefault="000E1314" w:rsidP="000E1314">
      <w:pPr>
        <w:spacing w:line="240" w:lineRule="auto"/>
      </w:pPr>
      <w:r>
        <w:separator/>
      </w:r>
    </w:p>
  </w:endnote>
  <w:endnote w:type="continuationSeparator" w:id="0">
    <w:p w14:paraId="4F66C73D" w14:textId="77777777" w:rsidR="000E1314" w:rsidRDefault="000E1314" w:rsidP="000E1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D899" w14:textId="77777777" w:rsidR="000E1314" w:rsidRDefault="000E1314" w:rsidP="000E1314">
      <w:pPr>
        <w:spacing w:line="240" w:lineRule="auto"/>
      </w:pPr>
      <w:r>
        <w:separator/>
      </w:r>
    </w:p>
  </w:footnote>
  <w:footnote w:type="continuationSeparator" w:id="0">
    <w:p w14:paraId="3F8A4AF1" w14:textId="77777777" w:rsidR="000E1314" w:rsidRDefault="000E1314" w:rsidP="000E1314">
      <w:pPr>
        <w:spacing w:line="240" w:lineRule="auto"/>
      </w:pPr>
      <w:r>
        <w:continuationSeparator/>
      </w:r>
    </w:p>
  </w:footnote>
  <w:footnote w:id="1">
    <w:p w14:paraId="583BBE92" w14:textId="062A78B3" w:rsidR="000E1314" w:rsidRDefault="000E13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3BB"/>
    <w:multiLevelType w:val="hybridMultilevel"/>
    <w:tmpl w:val="598A719C"/>
    <w:lvl w:ilvl="0" w:tplc="FE06E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7C7416"/>
    <w:multiLevelType w:val="hybridMultilevel"/>
    <w:tmpl w:val="E42CFB14"/>
    <w:lvl w:ilvl="0" w:tplc="D8D637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B719B5"/>
    <w:multiLevelType w:val="hybridMultilevel"/>
    <w:tmpl w:val="5C3C000E"/>
    <w:lvl w:ilvl="0" w:tplc="7B02714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3207A9"/>
    <w:multiLevelType w:val="hybridMultilevel"/>
    <w:tmpl w:val="78329124"/>
    <w:lvl w:ilvl="0" w:tplc="359C33E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813207921">
    <w:abstractNumId w:val="3"/>
  </w:num>
  <w:num w:numId="2" w16cid:durableId="1347749839">
    <w:abstractNumId w:val="2"/>
  </w:num>
  <w:num w:numId="3" w16cid:durableId="1200170661">
    <w:abstractNumId w:val="1"/>
  </w:num>
  <w:num w:numId="4" w16cid:durableId="38051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30F18"/>
    <w:rsid w:val="0003132B"/>
    <w:rsid w:val="000C2956"/>
    <w:rsid w:val="000E1314"/>
    <w:rsid w:val="00187B99"/>
    <w:rsid w:val="002014DD"/>
    <w:rsid w:val="002B18F9"/>
    <w:rsid w:val="002D5E17"/>
    <w:rsid w:val="003864DA"/>
    <w:rsid w:val="003A542B"/>
    <w:rsid w:val="004343C5"/>
    <w:rsid w:val="004D1217"/>
    <w:rsid w:val="004D6008"/>
    <w:rsid w:val="005641F6"/>
    <w:rsid w:val="005A693D"/>
    <w:rsid w:val="00604580"/>
    <w:rsid w:val="00640794"/>
    <w:rsid w:val="00641B41"/>
    <w:rsid w:val="006E4525"/>
    <w:rsid w:val="006F1772"/>
    <w:rsid w:val="006F21E1"/>
    <w:rsid w:val="00757197"/>
    <w:rsid w:val="007B54E2"/>
    <w:rsid w:val="007C6409"/>
    <w:rsid w:val="008942E7"/>
    <w:rsid w:val="008A1204"/>
    <w:rsid w:val="00900CCA"/>
    <w:rsid w:val="00924B77"/>
    <w:rsid w:val="00940DA2"/>
    <w:rsid w:val="009E055C"/>
    <w:rsid w:val="00A74F6F"/>
    <w:rsid w:val="00AD7557"/>
    <w:rsid w:val="00B30F18"/>
    <w:rsid w:val="00B50C5D"/>
    <w:rsid w:val="00B51253"/>
    <w:rsid w:val="00B525CC"/>
    <w:rsid w:val="00C548A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FE2F3"/>
  <w15:chartTrackingRefBased/>
  <w15:docId w15:val="{1476395D-D403-430D-9E13-409B22F7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64DA"/>
    <w:pPr>
      <w:tabs>
        <w:tab w:val="clear" w:pos="284"/>
      </w:tabs>
      <w:spacing w:line="240" w:lineRule="auto"/>
      <w:ind w:left="720"/>
      <w:contextualSpacing/>
    </w:pPr>
    <w:rPr>
      <w:szCs w:val="20"/>
    </w:rPr>
  </w:style>
  <w:style w:type="paragraph" w:styleId="Testonormale">
    <w:name w:val="Plain Text"/>
    <w:basedOn w:val="Normale"/>
    <w:link w:val="TestonormaleCarattere"/>
    <w:uiPriority w:val="99"/>
    <w:unhideWhenUsed/>
    <w:rsid w:val="007B54E2"/>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B54E2"/>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0E1314"/>
    <w:pPr>
      <w:spacing w:line="240" w:lineRule="auto"/>
    </w:pPr>
    <w:rPr>
      <w:szCs w:val="20"/>
    </w:rPr>
  </w:style>
  <w:style w:type="character" w:customStyle="1" w:styleId="TestonotaapidipaginaCarattere">
    <w:name w:val="Testo nota a piè di pagina Carattere"/>
    <w:basedOn w:val="Carpredefinitoparagrafo"/>
    <w:link w:val="Testonotaapidipagina"/>
    <w:rsid w:val="000E1314"/>
  </w:style>
  <w:style w:type="character" w:styleId="Rimandonotaapidipagina">
    <w:name w:val="footnote reference"/>
    <w:basedOn w:val="Carpredefinitoparagrafo"/>
    <w:rsid w:val="000E1314"/>
    <w:rPr>
      <w:vertAlign w:val="superscript"/>
    </w:rPr>
  </w:style>
  <w:style w:type="character" w:styleId="Collegamentoipertestuale">
    <w:name w:val="Hyperlink"/>
    <w:basedOn w:val="Carpredefinitoparagrafo"/>
    <w:rsid w:val="000E1314"/>
    <w:rPr>
      <w:color w:val="0563C1" w:themeColor="hyperlink"/>
      <w:u w:val="single"/>
    </w:rPr>
  </w:style>
  <w:style w:type="character" w:styleId="Menzionenonrisolta">
    <w:name w:val="Unresolved Mention"/>
    <w:basedOn w:val="Carpredefinitoparagrafo"/>
    <w:uiPriority w:val="99"/>
    <w:semiHidden/>
    <w:unhideWhenUsed/>
    <w:rsid w:val="000E1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ederic-s-mishkin-stanley-g-eakins/istituzioni-e-mercati-finanziari-ediz-mylab-9788891905383-5583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194-446D-463E-9A8D-5FB682A0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747</Words>
  <Characters>4407</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Economia, istituzioni e mercati finanziari</vt:lpstr>
      <vt:lpstr>    Prof. Enzo Dia</vt:lpstr>
    </vt:vector>
  </TitlesOfParts>
  <Company>U.C.S.C. MILANO</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2023-04-24T06:22:00Z</dcterms:created>
  <dcterms:modified xsi:type="dcterms:W3CDTF">2023-07-05T13:23:00Z</dcterms:modified>
</cp:coreProperties>
</file>