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B34F9" w14:textId="7AEB89DF" w:rsidR="00217045" w:rsidRPr="004D55BA" w:rsidRDefault="00217045" w:rsidP="006F246F">
      <w:pPr>
        <w:pStyle w:val="Titolo1"/>
        <w:rPr>
          <w:lang w:val="en-GB"/>
        </w:rPr>
      </w:pPr>
      <w:bookmarkStart w:id="0" w:name="_Toc442710349"/>
      <w:bookmarkStart w:id="1" w:name="_Toc75595663"/>
      <w:r w:rsidRPr="004D55BA">
        <w:rPr>
          <w:lang w:val="en-GB"/>
        </w:rPr>
        <w:t>Economic</w:t>
      </w:r>
      <w:bookmarkEnd w:id="0"/>
      <w:bookmarkEnd w:id="1"/>
      <w:r w:rsidR="00FC033B" w:rsidRPr="004D55BA">
        <w:rPr>
          <w:lang w:val="en-GB"/>
        </w:rPr>
        <w:t>s of Natural Resources</w:t>
      </w:r>
    </w:p>
    <w:p w14:paraId="1E8C036F" w14:textId="5FA44C5F" w:rsidR="006366A2" w:rsidRPr="004D55BA" w:rsidRDefault="006366A2" w:rsidP="006F246F">
      <w:pPr>
        <w:pStyle w:val="Titolo2"/>
        <w:rPr>
          <w:lang w:val="en-GB"/>
        </w:rPr>
      </w:pPr>
      <w:bookmarkStart w:id="2" w:name="_Toc75595664"/>
      <w:r w:rsidRPr="004D55BA">
        <w:rPr>
          <w:lang w:val="en-GB"/>
        </w:rPr>
        <w:t>Prof</w:t>
      </w:r>
      <w:r w:rsidR="00475DBE" w:rsidRPr="004D55BA">
        <w:rPr>
          <w:lang w:val="en-GB"/>
        </w:rPr>
        <w:t>.</w:t>
      </w:r>
      <w:r w:rsidR="0054272B" w:rsidRPr="004D55BA">
        <w:rPr>
          <w:lang w:val="en-GB"/>
        </w:rPr>
        <w:t xml:space="preserve"> </w:t>
      </w:r>
      <w:bookmarkEnd w:id="2"/>
      <w:r w:rsidR="00F6311B" w:rsidRPr="004D55BA">
        <w:rPr>
          <w:lang w:val="en-GB"/>
        </w:rPr>
        <w:t>Roberto Zoboli</w:t>
      </w:r>
    </w:p>
    <w:p w14:paraId="2E367414" w14:textId="77777777" w:rsidR="00475DBE" w:rsidRPr="007B50A1" w:rsidRDefault="00475DBE" w:rsidP="004839B6">
      <w:pPr>
        <w:spacing w:before="240" w:afterLines="40" w:after="96"/>
        <w:rPr>
          <w:b/>
          <w:i/>
          <w:sz w:val="18"/>
          <w:lang w:val="en-US"/>
        </w:rPr>
      </w:pPr>
      <w:bookmarkStart w:id="3" w:name="_Toc463195582"/>
      <w:r w:rsidRPr="007B50A1">
        <w:rPr>
          <w:b/>
          <w:i/>
          <w:sz w:val="18"/>
          <w:lang w:val="en-US"/>
        </w:rPr>
        <w:t xml:space="preserve">COURSE AIMS AND INTENDED LEARNING OUTCOMES </w:t>
      </w:r>
    </w:p>
    <w:p w14:paraId="1D3F4990" w14:textId="77777777" w:rsidR="0041452E" w:rsidRDefault="004D55BA" w:rsidP="004839B6">
      <w:pPr>
        <w:spacing w:afterLines="40" w:after="96"/>
        <w:ind w:left="0" w:firstLine="0"/>
        <w:rPr>
          <w:szCs w:val="18"/>
          <w:lang w:val="en-US"/>
        </w:rPr>
      </w:pPr>
      <w:r w:rsidRPr="004D55BA">
        <w:rPr>
          <w:i/>
          <w:szCs w:val="18"/>
          <w:lang w:val="en-US"/>
        </w:rPr>
        <w:t>Knowledge and Understanding</w:t>
      </w:r>
      <w:r w:rsidR="0095267B">
        <w:rPr>
          <w:szCs w:val="18"/>
          <w:lang w:val="en-US"/>
        </w:rPr>
        <w:t xml:space="preserve">: </w:t>
      </w:r>
      <w:r w:rsidR="007E3A80" w:rsidRPr="00D85932">
        <w:rPr>
          <w:szCs w:val="18"/>
          <w:lang w:val="en-US"/>
        </w:rPr>
        <w:t>The aim is t</w:t>
      </w:r>
      <w:r w:rsidR="00735B8E" w:rsidRPr="00D85932">
        <w:rPr>
          <w:szCs w:val="18"/>
          <w:lang w:val="en-US"/>
        </w:rPr>
        <w:t xml:space="preserve">o provide theoretical and applied knowledge of </w:t>
      </w:r>
      <w:r w:rsidR="00A66A4C" w:rsidRPr="00D85932">
        <w:rPr>
          <w:szCs w:val="18"/>
          <w:lang w:val="en-US"/>
        </w:rPr>
        <w:t xml:space="preserve">the </w:t>
      </w:r>
      <w:r w:rsidR="00735B8E" w:rsidRPr="00D85932">
        <w:rPr>
          <w:szCs w:val="18"/>
          <w:lang w:val="en-US"/>
        </w:rPr>
        <w:t xml:space="preserve">economics </w:t>
      </w:r>
      <w:r w:rsidR="00340B0C" w:rsidRPr="00D85932">
        <w:rPr>
          <w:szCs w:val="18"/>
          <w:lang w:val="en-US"/>
        </w:rPr>
        <w:t xml:space="preserve">of natural resources and of </w:t>
      </w:r>
      <w:r w:rsidR="005B4CAC" w:rsidRPr="00D85932">
        <w:rPr>
          <w:szCs w:val="18"/>
          <w:lang w:val="en-US"/>
        </w:rPr>
        <w:t xml:space="preserve">economic </w:t>
      </w:r>
      <w:r w:rsidR="00735B8E" w:rsidRPr="00D85932">
        <w:rPr>
          <w:szCs w:val="18"/>
          <w:lang w:val="en-US"/>
        </w:rPr>
        <w:t>policies for the</w:t>
      </w:r>
      <w:r w:rsidR="00340B0C" w:rsidRPr="00D85932">
        <w:rPr>
          <w:szCs w:val="18"/>
          <w:lang w:val="en-US"/>
        </w:rPr>
        <w:t>ir</w:t>
      </w:r>
      <w:r w:rsidR="00735B8E" w:rsidRPr="00D85932">
        <w:rPr>
          <w:szCs w:val="18"/>
          <w:lang w:val="en-US"/>
        </w:rPr>
        <w:t xml:space="preserve"> sustainable use</w:t>
      </w:r>
      <w:r w:rsidR="00802C04" w:rsidRPr="00D85932">
        <w:rPr>
          <w:szCs w:val="18"/>
          <w:lang w:val="en-US"/>
        </w:rPr>
        <w:t>.</w:t>
      </w:r>
      <w:r w:rsidR="00340B0C" w:rsidRPr="00D85932">
        <w:rPr>
          <w:szCs w:val="18"/>
          <w:lang w:val="en-US"/>
        </w:rPr>
        <w:t xml:space="preserve"> The course </w:t>
      </w:r>
      <w:r w:rsidR="00902C3F" w:rsidRPr="00D85932">
        <w:rPr>
          <w:szCs w:val="18"/>
          <w:lang w:val="en-US"/>
        </w:rPr>
        <w:t>particularly focuses</w:t>
      </w:r>
      <w:r w:rsidR="00340B0C" w:rsidRPr="00D85932">
        <w:rPr>
          <w:szCs w:val="18"/>
          <w:lang w:val="en-US"/>
        </w:rPr>
        <w:t xml:space="preserve"> </w:t>
      </w:r>
      <w:r w:rsidR="00902C3F" w:rsidRPr="00D85932">
        <w:rPr>
          <w:szCs w:val="18"/>
          <w:lang w:val="en-US"/>
        </w:rPr>
        <w:t xml:space="preserve">on </w:t>
      </w:r>
      <w:r w:rsidR="00804B5C" w:rsidRPr="00D85932">
        <w:rPr>
          <w:szCs w:val="18"/>
          <w:lang w:val="en-US"/>
        </w:rPr>
        <w:t xml:space="preserve">the </w:t>
      </w:r>
      <w:r w:rsidR="00F6311B">
        <w:rPr>
          <w:szCs w:val="18"/>
          <w:lang w:val="en-US"/>
        </w:rPr>
        <w:t xml:space="preserve">global climate </w:t>
      </w:r>
      <w:r w:rsidR="00340B0C" w:rsidRPr="00D85932">
        <w:rPr>
          <w:szCs w:val="18"/>
          <w:lang w:val="en-US"/>
        </w:rPr>
        <w:t xml:space="preserve">and environmental </w:t>
      </w:r>
      <w:r w:rsidR="00804B5C" w:rsidRPr="00D85932">
        <w:rPr>
          <w:szCs w:val="18"/>
          <w:lang w:val="en-US"/>
        </w:rPr>
        <w:t>challenges</w:t>
      </w:r>
      <w:r w:rsidR="00340B0C" w:rsidRPr="00D85932">
        <w:rPr>
          <w:szCs w:val="18"/>
          <w:lang w:val="en-US"/>
        </w:rPr>
        <w:t>,</w:t>
      </w:r>
      <w:r w:rsidR="005B4CAC" w:rsidRPr="00D85932">
        <w:rPr>
          <w:szCs w:val="18"/>
          <w:lang w:val="en-US"/>
        </w:rPr>
        <w:t xml:space="preserve"> </w:t>
      </w:r>
      <w:r w:rsidR="002B4157" w:rsidRPr="00D85932">
        <w:rPr>
          <w:szCs w:val="18"/>
          <w:lang w:val="en-US"/>
        </w:rPr>
        <w:t xml:space="preserve">and explores their implications for economic growth and </w:t>
      </w:r>
      <w:r w:rsidR="00FA33AA" w:rsidRPr="00D85932">
        <w:rPr>
          <w:szCs w:val="18"/>
          <w:lang w:val="en-US"/>
        </w:rPr>
        <w:t>social</w:t>
      </w:r>
      <w:r w:rsidR="002B4157" w:rsidRPr="00D85932">
        <w:rPr>
          <w:szCs w:val="18"/>
          <w:lang w:val="en-US"/>
        </w:rPr>
        <w:t xml:space="preserve"> development</w:t>
      </w:r>
      <w:r w:rsidR="00FA33AA" w:rsidRPr="00D85932">
        <w:rPr>
          <w:szCs w:val="18"/>
          <w:lang w:val="en-US"/>
        </w:rPr>
        <w:t xml:space="preserve">. </w:t>
      </w:r>
      <w:r w:rsidR="00802C04" w:rsidRPr="00D85932">
        <w:rPr>
          <w:szCs w:val="18"/>
          <w:lang w:val="en-US"/>
        </w:rPr>
        <w:t xml:space="preserve">At the end of the course, students are expected to have a sound knowledge of </w:t>
      </w:r>
      <w:r w:rsidR="00B33C5B" w:rsidRPr="00D85932">
        <w:rPr>
          <w:szCs w:val="18"/>
          <w:lang w:val="en-US"/>
        </w:rPr>
        <w:t xml:space="preserve">the economics of natural resources and of </w:t>
      </w:r>
      <w:r w:rsidR="00802C04" w:rsidRPr="00D85932">
        <w:rPr>
          <w:szCs w:val="18"/>
          <w:lang w:val="en-US"/>
        </w:rPr>
        <w:t xml:space="preserve">the theoretical concepts and principles on which sustainability policies at the </w:t>
      </w:r>
      <w:r w:rsidR="00FA33AA" w:rsidRPr="00D85932">
        <w:rPr>
          <w:szCs w:val="18"/>
          <w:lang w:val="en-US"/>
        </w:rPr>
        <w:t>global</w:t>
      </w:r>
      <w:r w:rsidR="00802C04" w:rsidRPr="00D85932">
        <w:rPr>
          <w:szCs w:val="18"/>
          <w:lang w:val="en-US"/>
        </w:rPr>
        <w:t xml:space="preserve"> and European level</w:t>
      </w:r>
      <w:r w:rsidR="00FA33AA" w:rsidRPr="00D85932">
        <w:rPr>
          <w:szCs w:val="18"/>
          <w:lang w:val="en-US"/>
        </w:rPr>
        <w:t>s</w:t>
      </w:r>
      <w:r w:rsidR="00802C04" w:rsidRPr="00D85932">
        <w:rPr>
          <w:szCs w:val="18"/>
          <w:lang w:val="en-US"/>
        </w:rPr>
        <w:t xml:space="preserve"> are based. </w:t>
      </w:r>
    </w:p>
    <w:p w14:paraId="1F0884C2" w14:textId="60FA5EA3" w:rsidR="00802C04" w:rsidRDefault="0041452E" w:rsidP="004839B6">
      <w:pPr>
        <w:spacing w:afterLines="40" w:after="96"/>
        <w:ind w:left="0" w:firstLine="0"/>
        <w:rPr>
          <w:szCs w:val="18"/>
          <w:lang w:val="en-US"/>
        </w:rPr>
      </w:pPr>
      <w:r w:rsidRPr="004D55BA">
        <w:rPr>
          <w:i/>
          <w:szCs w:val="18"/>
          <w:lang w:val="en-US"/>
        </w:rPr>
        <w:t>Ability to Apply Knowledge and Understanding</w:t>
      </w:r>
      <w:r>
        <w:rPr>
          <w:szCs w:val="18"/>
          <w:lang w:val="en-US"/>
        </w:rPr>
        <w:t xml:space="preserve">: </w:t>
      </w:r>
      <w:r w:rsidR="00802C04" w:rsidRPr="00D85932">
        <w:rPr>
          <w:szCs w:val="18"/>
          <w:lang w:val="en-US"/>
        </w:rPr>
        <w:t xml:space="preserve">Students are expected to </w:t>
      </w:r>
      <w:r>
        <w:rPr>
          <w:szCs w:val="18"/>
          <w:lang w:val="en-US"/>
        </w:rPr>
        <w:t>be able to apply this knowledge within</w:t>
      </w:r>
      <w:r w:rsidR="00802C04" w:rsidRPr="00D85932">
        <w:rPr>
          <w:szCs w:val="18"/>
          <w:lang w:val="en-US"/>
        </w:rPr>
        <w:t xml:space="preserve"> </w:t>
      </w:r>
      <w:r>
        <w:rPr>
          <w:szCs w:val="18"/>
          <w:lang w:val="en-US"/>
        </w:rPr>
        <w:t xml:space="preserve">different professional environments, in particular </w:t>
      </w:r>
      <w:proofErr w:type="spellStart"/>
      <w:r>
        <w:rPr>
          <w:szCs w:val="18"/>
          <w:lang w:val="en-US"/>
        </w:rPr>
        <w:t>organisations</w:t>
      </w:r>
      <w:proofErr w:type="spellEnd"/>
      <w:r>
        <w:rPr>
          <w:szCs w:val="18"/>
          <w:lang w:val="en-US"/>
        </w:rPr>
        <w:t xml:space="preserve"> and companies that pursue strategies for</w:t>
      </w:r>
      <w:bookmarkStart w:id="4" w:name="_GoBack"/>
      <w:bookmarkEnd w:id="4"/>
      <w:r w:rsidR="00802C04" w:rsidRPr="00D85932">
        <w:rPr>
          <w:szCs w:val="18"/>
          <w:lang w:val="en-US"/>
        </w:rPr>
        <w:t xml:space="preserve"> sustainable development, climate change</w:t>
      </w:r>
      <w:r w:rsidR="00B33C5B" w:rsidRPr="00D85932">
        <w:rPr>
          <w:szCs w:val="18"/>
          <w:lang w:val="en-US"/>
        </w:rPr>
        <w:t xml:space="preserve">, </w:t>
      </w:r>
      <w:r w:rsidR="00802C04" w:rsidRPr="00D85932">
        <w:rPr>
          <w:szCs w:val="18"/>
          <w:lang w:val="en-US"/>
        </w:rPr>
        <w:t xml:space="preserve">circular economy and </w:t>
      </w:r>
      <w:r w:rsidR="009E3473" w:rsidRPr="00D85932">
        <w:rPr>
          <w:szCs w:val="18"/>
          <w:lang w:val="en-US"/>
        </w:rPr>
        <w:t>environmental protection</w:t>
      </w:r>
      <w:r w:rsidR="00802C04" w:rsidRPr="00D85932">
        <w:rPr>
          <w:szCs w:val="18"/>
          <w:lang w:val="en-US"/>
        </w:rPr>
        <w:t>.</w:t>
      </w:r>
    </w:p>
    <w:p w14:paraId="44581BF2" w14:textId="77777777" w:rsidR="004D55BA" w:rsidRPr="004D55BA" w:rsidRDefault="004D55BA" w:rsidP="004839B6">
      <w:pPr>
        <w:spacing w:afterLines="40" w:after="96"/>
        <w:ind w:left="0" w:firstLine="0"/>
        <w:rPr>
          <w:szCs w:val="18"/>
          <w:lang w:val="en-GB"/>
        </w:rPr>
      </w:pPr>
    </w:p>
    <w:p w14:paraId="547F75AF" w14:textId="77777777" w:rsidR="00735B8E" w:rsidRPr="00D85932" w:rsidRDefault="00735B8E" w:rsidP="004839B6">
      <w:pPr>
        <w:spacing w:before="240" w:afterLines="40" w:after="96"/>
        <w:rPr>
          <w:b/>
          <w:sz w:val="18"/>
          <w:szCs w:val="18"/>
          <w:lang w:val="en-US"/>
        </w:rPr>
      </w:pPr>
      <w:r w:rsidRPr="00D85932">
        <w:rPr>
          <w:b/>
          <w:i/>
          <w:sz w:val="18"/>
          <w:szCs w:val="18"/>
          <w:lang w:val="en-US"/>
        </w:rPr>
        <w:t>COURSE CONTENT</w:t>
      </w:r>
    </w:p>
    <w:p w14:paraId="68A3EA0B" w14:textId="77777777" w:rsidR="00E323F9" w:rsidRDefault="00735B8E" w:rsidP="004839B6">
      <w:pPr>
        <w:spacing w:afterLines="40" w:after="96"/>
        <w:rPr>
          <w:szCs w:val="20"/>
          <w:lang w:val="en-US"/>
        </w:rPr>
      </w:pPr>
      <w:r w:rsidRPr="00D85932">
        <w:rPr>
          <w:szCs w:val="20"/>
          <w:lang w:val="en-US"/>
        </w:rPr>
        <w:t>1.</w:t>
      </w:r>
      <w:r w:rsidRPr="00D85932">
        <w:rPr>
          <w:szCs w:val="20"/>
          <w:lang w:val="en-US"/>
        </w:rPr>
        <w:tab/>
      </w:r>
      <w:r w:rsidR="003C1B49">
        <w:rPr>
          <w:szCs w:val="20"/>
          <w:lang w:val="en-US"/>
        </w:rPr>
        <w:t xml:space="preserve">Fundamentals of sustainability </w:t>
      </w:r>
      <w:r w:rsidR="00E323F9">
        <w:rPr>
          <w:szCs w:val="20"/>
          <w:lang w:val="en-US"/>
        </w:rPr>
        <w:t xml:space="preserve">theories and </w:t>
      </w:r>
      <w:r w:rsidR="003C1B49">
        <w:rPr>
          <w:szCs w:val="20"/>
          <w:lang w:val="en-US"/>
        </w:rPr>
        <w:t xml:space="preserve">thinking </w:t>
      </w:r>
    </w:p>
    <w:p w14:paraId="4F5443C5" w14:textId="5EA3CB53" w:rsidR="003C1B49" w:rsidRDefault="00E323F9" w:rsidP="004839B6">
      <w:pPr>
        <w:spacing w:afterLines="40" w:after="96"/>
        <w:rPr>
          <w:szCs w:val="20"/>
          <w:lang w:val="en-US"/>
        </w:rPr>
      </w:pPr>
      <w:r>
        <w:rPr>
          <w:szCs w:val="20"/>
          <w:lang w:val="en-US"/>
        </w:rPr>
        <w:t xml:space="preserve">2. </w:t>
      </w:r>
      <w:r>
        <w:rPr>
          <w:szCs w:val="20"/>
          <w:lang w:val="en-US"/>
        </w:rPr>
        <w:tab/>
        <w:t xml:space="preserve">The political economy of </w:t>
      </w:r>
      <w:r w:rsidR="003C1B49">
        <w:rPr>
          <w:szCs w:val="20"/>
          <w:lang w:val="en-US"/>
        </w:rPr>
        <w:t>natural resources</w:t>
      </w:r>
      <w:r>
        <w:rPr>
          <w:szCs w:val="20"/>
          <w:lang w:val="en-US"/>
        </w:rPr>
        <w:t xml:space="preserve"> and the environment</w:t>
      </w:r>
    </w:p>
    <w:p w14:paraId="01411BEF" w14:textId="2B4F2518" w:rsidR="00735B8E" w:rsidRPr="00D85932" w:rsidRDefault="00E323F9" w:rsidP="004839B6">
      <w:pPr>
        <w:spacing w:afterLines="40" w:after="96"/>
        <w:rPr>
          <w:szCs w:val="20"/>
          <w:lang w:val="en-US"/>
        </w:rPr>
      </w:pPr>
      <w:r>
        <w:rPr>
          <w:szCs w:val="20"/>
          <w:lang w:val="en-US"/>
        </w:rPr>
        <w:t>3</w:t>
      </w:r>
      <w:r w:rsidR="00735B8E" w:rsidRPr="00D85932">
        <w:rPr>
          <w:szCs w:val="20"/>
          <w:lang w:val="en-US"/>
        </w:rPr>
        <w:t>.</w:t>
      </w:r>
      <w:r w:rsidR="00735B8E" w:rsidRPr="00D85932">
        <w:rPr>
          <w:szCs w:val="20"/>
          <w:lang w:val="en-US"/>
        </w:rPr>
        <w:tab/>
      </w:r>
      <w:r w:rsidR="003C1B49">
        <w:rPr>
          <w:szCs w:val="20"/>
          <w:lang w:val="en-US"/>
        </w:rPr>
        <w:t>The economics and governance of c</w:t>
      </w:r>
      <w:r w:rsidR="000F7A70" w:rsidRPr="00D85932">
        <w:rPr>
          <w:szCs w:val="20"/>
          <w:lang w:val="en-US"/>
        </w:rPr>
        <w:t>limate change</w:t>
      </w:r>
    </w:p>
    <w:p w14:paraId="3B6C41B6" w14:textId="32634E9B" w:rsidR="008A02EC" w:rsidRPr="00D85932" w:rsidRDefault="00E323F9" w:rsidP="004839B6">
      <w:pPr>
        <w:spacing w:afterLines="40" w:after="96"/>
        <w:rPr>
          <w:szCs w:val="18"/>
          <w:lang w:val="en-US"/>
        </w:rPr>
      </w:pPr>
      <w:r>
        <w:rPr>
          <w:szCs w:val="18"/>
          <w:lang w:val="en-US"/>
        </w:rPr>
        <w:t>4</w:t>
      </w:r>
      <w:r w:rsidR="00735B8E" w:rsidRPr="00D85932">
        <w:rPr>
          <w:szCs w:val="18"/>
          <w:lang w:val="en-US"/>
        </w:rPr>
        <w:t>.</w:t>
      </w:r>
      <w:r w:rsidR="00735B8E" w:rsidRPr="00D85932">
        <w:rPr>
          <w:szCs w:val="18"/>
          <w:lang w:val="en-US"/>
        </w:rPr>
        <w:tab/>
      </w:r>
      <w:r w:rsidR="003C1B49">
        <w:rPr>
          <w:szCs w:val="18"/>
          <w:lang w:val="en-US"/>
        </w:rPr>
        <w:t>The economics and policies of the circular economy</w:t>
      </w:r>
      <w:r>
        <w:rPr>
          <w:szCs w:val="18"/>
          <w:lang w:val="en-US"/>
        </w:rPr>
        <w:t xml:space="preserve"> </w:t>
      </w:r>
    </w:p>
    <w:p w14:paraId="5B872B84" w14:textId="1C66E4C6" w:rsidR="004F1FF4" w:rsidRPr="00D85932" w:rsidRDefault="00E323F9" w:rsidP="00D85932">
      <w:pPr>
        <w:spacing w:afterLines="40" w:after="96"/>
        <w:ind w:left="0" w:firstLine="0"/>
        <w:rPr>
          <w:szCs w:val="18"/>
          <w:lang w:val="en-US"/>
        </w:rPr>
      </w:pPr>
      <w:r>
        <w:rPr>
          <w:szCs w:val="18"/>
          <w:lang w:val="en-US"/>
        </w:rPr>
        <w:t>5</w:t>
      </w:r>
      <w:r w:rsidR="008A02EC" w:rsidRPr="00D85932">
        <w:rPr>
          <w:szCs w:val="18"/>
          <w:lang w:val="en-US"/>
        </w:rPr>
        <w:t>.</w:t>
      </w:r>
      <w:r w:rsidR="008A02EC" w:rsidRPr="00D85932">
        <w:rPr>
          <w:szCs w:val="18"/>
          <w:lang w:val="en-US"/>
        </w:rPr>
        <w:tab/>
      </w:r>
      <w:r w:rsidR="003C1B49">
        <w:rPr>
          <w:szCs w:val="18"/>
          <w:lang w:val="en-US"/>
        </w:rPr>
        <w:t>Extended</w:t>
      </w:r>
      <w:r w:rsidR="004F1FF4">
        <w:rPr>
          <w:szCs w:val="18"/>
          <w:lang w:val="en-US"/>
        </w:rPr>
        <w:t xml:space="preserve"> </w:t>
      </w:r>
      <w:r w:rsidR="00D85932">
        <w:rPr>
          <w:szCs w:val="18"/>
          <w:lang w:val="en-US"/>
        </w:rPr>
        <w:t xml:space="preserve">socio-economic </w:t>
      </w:r>
      <w:r>
        <w:rPr>
          <w:szCs w:val="18"/>
          <w:lang w:val="en-US"/>
        </w:rPr>
        <w:t xml:space="preserve">and industrial </w:t>
      </w:r>
      <w:r w:rsidR="00D85932">
        <w:rPr>
          <w:szCs w:val="18"/>
          <w:lang w:val="en-US"/>
        </w:rPr>
        <w:t>dimension</w:t>
      </w:r>
      <w:r w:rsidR="003C1B49">
        <w:rPr>
          <w:szCs w:val="18"/>
          <w:lang w:val="en-US"/>
        </w:rPr>
        <w:t>s</w:t>
      </w:r>
      <w:r w:rsidR="00D85932">
        <w:rPr>
          <w:szCs w:val="18"/>
          <w:lang w:val="en-US"/>
        </w:rPr>
        <w:t xml:space="preserve"> of the green transition</w:t>
      </w:r>
    </w:p>
    <w:p w14:paraId="7A283A68" w14:textId="28DF018F" w:rsidR="00735B8E" w:rsidRPr="00D85932" w:rsidRDefault="00735B8E" w:rsidP="00D85932">
      <w:pPr>
        <w:spacing w:afterLines="40" w:after="96"/>
        <w:rPr>
          <w:b/>
          <w:i/>
          <w:sz w:val="18"/>
          <w:szCs w:val="18"/>
          <w:lang w:val="en-US"/>
        </w:rPr>
      </w:pPr>
      <w:r w:rsidRPr="00D85932">
        <w:rPr>
          <w:b/>
          <w:i/>
          <w:sz w:val="18"/>
          <w:szCs w:val="18"/>
          <w:lang w:val="en-US"/>
        </w:rPr>
        <w:t>READING LIST</w:t>
      </w:r>
    </w:p>
    <w:p w14:paraId="79A26950" w14:textId="024B89E6" w:rsidR="009D46FA" w:rsidRPr="00D85932" w:rsidRDefault="009D46FA" w:rsidP="009D46FA">
      <w:pPr>
        <w:tabs>
          <w:tab w:val="clear" w:pos="284"/>
        </w:tabs>
        <w:spacing w:before="120" w:afterLines="40" w:after="96"/>
        <w:rPr>
          <w:sz w:val="18"/>
          <w:szCs w:val="18"/>
          <w:lang w:val="en-US"/>
        </w:rPr>
      </w:pPr>
      <w:r w:rsidRPr="00D85932">
        <w:rPr>
          <w:sz w:val="18"/>
          <w:szCs w:val="18"/>
          <w:lang w:val="en-US"/>
        </w:rPr>
        <w:t xml:space="preserve">Slides presented during classes and material distributed during classes and/or made available on the </w:t>
      </w:r>
      <w:r w:rsidR="007B50A1" w:rsidRPr="00D85932">
        <w:rPr>
          <w:sz w:val="18"/>
          <w:szCs w:val="18"/>
          <w:lang w:val="en-US"/>
        </w:rPr>
        <w:t>lecturer</w:t>
      </w:r>
      <w:r w:rsidR="007B50A1">
        <w:rPr>
          <w:sz w:val="18"/>
          <w:szCs w:val="18"/>
          <w:lang w:val="en-US"/>
        </w:rPr>
        <w:t>’s</w:t>
      </w:r>
      <w:r w:rsidR="007B50A1" w:rsidRPr="00D85932">
        <w:rPr>
          <w:sz w:val="18"/>
          <w:szCs w:val="18"/>
          <w:lang w:val="en-US"/>
        </w:rPr>
        <w:t xml:space="preserve"> Blackboard page</w:t>
      </w:r>
      <w:r w:rsidRPr="00D85932">
        <w:rPr>
          <w:sz w:val="18"/>
          <w:szCs w:val="18"/>
          <w:lang w:val="en-US"/>
        </w:rPr>
        <w:t xml:space="preserve">. </w:t>
      </w:r>
    </w:p>
    <w:p w14:paraId="0601FABE" w14:textId="4668A58F" w:rsidR="009D46FA" w:rsidRPr="00D85932" w:rsidRDefault="009D46FA" w:rsidP="00962D78">
      <w:pPr>
        <w:pStyle w:val="Testo1"/>
        <w:ind w:left="0" w:firstLine="0"/>
        <w:rPr>
          <w:rFonts w:ascii="Times New Roman" w:hAnsi="Times New Roman"/>
          <w:noProof w:val="0"/>
          <w:lang w:val="en-US"/>
        </w:rPr>
      </w:pPr>
      <w:r w:rsidRPr="00D85932">
        <w:rPr>
          <w:rFonts w:ascii="Times New Roman" w:hAnsi="Times New Roman"/>
          <w:noProof w:val="0"/>
          <w:lang w:val="en-US"/>
        </w:rPr>
        <w:t xml:space="preserve">The following </w:t>
      </w:r>
      <w:r w:rsidR="00701863">
        <w:rPr>
          <w:rFonts w:ascii="Times New Roman" w:hAnsi="Times New Roman"/>
          <w:noProof w:val="0"/>
          <w:lang w:val="en-US"/>
        </w:rPr>
        <w:t>reports</w:t>
      </w:r>
      <w:r w:rsidRPr="00D85932">
        <w:rPr>
          <w:rFonts w:ascii="Times New Roman" w:hAnsi="Times New Roman"/>
          <w:noProof w:val="0"/>
          <w:lang w:val="en-US"/>
        </w:rPr>
        <w:t xml:space="preserve"> may be considered as extensive background reading</w:t>
      </w:r>
      <w:r w:rsidR="007B50A1">
        <w:rPr>
          <w:rFonts w:ascii="Times New Roman" w:hAnsi="Times New Roman"/>
          <w:noProof w:val="0"/>
          <w:lang w:val="en-US"/>
        </w:rPr>
        <w:t>s</w:t>
      </w:r>
      <w:r w:rsidRPr="00D85932">
        <w:rPr>
          <w:rFonts w:ascii="Times New Roman" w:hAnsi="Times New Roman"/>
          <w:noProof w:val="0"/>
          <w:lang w:val="en-US"/>
        </w:rPr>
        <w:t xml:space="preserve">, while specific relevant sections will be </w:t>
      </w:r>
      <w:r w:rsidR="00EF3117">
        <w:rPr>
          <w:rFonts w:ascii="Times New Roman" w:hAnsi="Times New Roman"/>
          <w:noProof w:val="0"/>
          <w:lang w:val="en-US"/>
        </w:rPr>
        <w:t>indicated</w:t>
      </w:r>
      <w:r w:rsidR="007B50A1" w:rsidRPr="00D85932">
        <w:rPr>
          <w:rFonts w:ascii="Times New Roman" w:hAnsi="Times New Roman"/>
          <w:noProof w:val="0"/>
          <w:lang w:val="en-US"/>
        </w:rPr>
        <w:t xml:space="preserve"> </w:t>
      </w:r>
      <w:r w:rsidR="00962D78" w:rsidRPr="00D85932">
        <w:rPr>
          <w:rFonts w:ascii="Times New Roman" w:hAnsi="Times New Roman"/>
          <w:noProof w:val="0"/>
          <w:lang w:val="en-US"/>
        </w:rPr>
        <w:t>during classes</w:t>
      </w:r>
      <w:r w:rsidRPr="00D85932">
        <w:rPr>
          <w:rFonts w:ascii="Times New Roman" w:hAnsi="Times New Roman"/>
          <w:noProof w:val="0"/>
          <w:lang w:val="en-US"/>
        </w:rPr>
        <w:t>:</w:t>
      </w:r>
    </w:p>
    <w:p w14:paraId="5207AA42" w14:textId="69C0815F" w:rsidR="00985CCB" w:rsidRPr="00701863" w:rsidRDefault="00701863" w:rsidP="00701863">
      <w:pPr>
        <w:tabs>
          <w:tab w:val="clear" w:pos="284"/>
        </w:tabs>
        <w:spacing w:before="120" w:afterLines="40" w:after="96"/>
        <w:jc w:val="left"/>
        <w:rPr>
          <w:smallCaps/>
          <w:spacing w:val="-5"/>
          <w:sz w:val="18"/>
          <w:szCs w:val="18"/>
          <w:lang w:val="en-GB"/>
        </w:rPr>
      </w:pPr>
      <w:r>
        <w:rPr>
          <w:sz w:val="18"/>
          <w:szCs w:val="18"/>
          <w:lang w:val="en-GB"/>
        </w:rPr>
        <w:t xml:space="preserve">P. </w:t>
      </w:r>
      <w:r w:rsidRPr="00701863">
        <w:rPr>
          <w:smallCaps/>
          <w:spacing w:val="-5"/>
          <w:sz w:val="16"/>
          <w:szCs w:val="18"/>
          <w:lang w:val="en-US"/>
        </w:rPr>
        <w:t>E</w:t>
      </w:r>
      <w:r>
        <w:rPr>
          <w:smallCaps/>
          <w:spacing w:val="-5"/>
          <w:sz w:val="16"/>
          <w:szCs w:val="18"/>
          <w:lang w:val="en-US"/>
        </w:rPr>
        <w:t>kins</w:t>
      </w:r>
      <w:r w:rsidRPr="00701863">
        <w:rPr>
          <w:smallCaps/>
          <w:spacing w:val="-5"/>
          <w:sz w:val="16"/>
          <w:szCs w:val="18"/>
          <w:lang w:val="en-US"/>
        </w:rPr>
        <w:t xml:space="preserve"> </w:t>
      </w:r>
      <w:r w:rsidRPr="00701863">
        <w:rPr>
          <w:sz w:val="18"/>
          <w:szCs w:val="18"/>
          <w:lang w:val="en-GB"/>
        </w:rPr>
        <w:t xml:space="preserve">al. </w:t>
      </w:r>
      <w:r w:rsidR="00985CCB" w:rsidRPr="00701863">
        <w:rPr>
          <w:i/>
          <w:sz w:val="18"/>
          <w:szCs w:val="18"/>
          <w:lang w:val="en-GB"/>
        </w:rPr>
        <w:t>The Circular Ec</w:t>
      </w:r>
      <w:r w:rsidR="003F0FD9">
        <w:rPr>
          <w:i/>
          <w:sz w:val="18"/>
          <w:szCs w:val="18"/>
          <w:lang w:val="en-GB"/>
        </w:rPr>
        <w:t>onomy: What, Why, How and Where</w:t>
      </w:r>
      <w:r w:rsidR="00985CCB" w:rsidRPr="00701863">
        <w:rPr>
          <w:sz w:val="18"/>
          <w:szCs w:val="18"/>
          <w:lang w:val="en-GB"/>
        </w:rPr>
        <w:t>, University College London</w:t>
      </w:r>
      <w:r w:rsidRPr="00701863">
        <w:rPr>
          <w:sz w:val="18"/>
          <w:szCs w:val="18"/>
          <w:lang w:val="en-GB"/>
        </w:rPr>
        <w:t>, and OECD,</w:t>
      </w:r>
      <w:r>
        <w:rPr>
          <w:sz w:val="18"/>
          <w:szCs w:val="18"/>
          <w:lang w:val="en-GB"/>
        </w:rPr>
        <w:t xml:space="preserve"> 2019</w:t>
      </w:r>
      <w:r w:rsidR="00EF3117">
        <w:rPr>
          <w:sz w:val="18"/>
          <w:szCs w:val="18"/>
          <w:lang w:val="en-GB"/>
        </w:rPr>
        <w:t xml:space="preserve"> </w:t>
      </w:r>
      <w:r w:rsidR="00EF3117" w:rsidRPr="00D85932">
        <w:rPr>
          <w:spacing w:val="-5"/>
          <w:sz w:val="18"/>
          <w:szCs w:val="18"/>
          <w:lang w:val="en-US"/>
        </w:rPr>
        <w:t>(</w:t>
      </w:r>
      <w:r w:rsidR="00EF3117">
        <w:rPr>
          <w:spacing w:val="-5"/>
          <w:sz w:val="18"/>
          <w:szCs w:val="18"/>
          <w:lang w:val="en-US"/>
        </w:rPr>
        <w:t>parts indicated during classes)</w:t>
      </w:r>
      <w:r>
        <w:rPr>
          <w:sz w:val="18"/>
          <w:szCs w:val="18"/>
          <w:lang w:val="en-GB"/>
        </w:rPr>
        <w:t xml:space="preserve">, </w:t>
      </w:r>
      <w:hyperlink r:id="rId6" w:history="1">
        <w:r w:rsidRPr="00701863">
          <w:rPr>
            <w:rStyle w:val="Collegamentoipertestuale"/>
            <w:sz w:val="18"/>
            <w:szCs w:val="18"/>
            <w:lang w:val="en-GB"/>
          </w:rPr>
          <w:t>https://www.oecd.org/cfe/regionaldevelopment/Ekins-2019-Circular-Economy-What-Why-How-Where.pdf</w:t>
        </w:r>
      </w:hyperlink>
      <w:r w:rsidRPr="00701863">
        <w:rPr>
          <w:sz w:val="18"/>
          <w:szCs w:val="18"/>
          <w:lang w:val="en-GB"/>
        </w:rPr>
        <w:t xml:space="preserve"> </w:t>
      </w:r>
    </w:p>
    <w:p w14:paraId="74558F54" w14:textId="137BC482" w:rsidR="00735B8E" w:rsidRDefault="002A19CF" w:rsidP="00701863">
      <w:pPr>
        <w:tabs>
          <w:tab w:val="clear" w:pos="284"/>
        </w:tabs>
        <w:spacing w:before="120" w:afterLines="40" w:after="96"/>
        <w:jc w:val="left"/>
        <w:rPr>
          <w:spacing w:val="-5"/>
          <w:sz w:val="18"/>
          <w:szCs w:val="18"/>
          <w:lang w:val="en-US"/>
        </w:rPr>
      </w:pPr>
      <w:r w:rsidRPr="00D85932">
        <w:rPr>
          <w:smallCaps/>
          <w:spacing w:val="-5"/>
          <w:sz w:val="16"/>
          <w:szCs w:val="18"/>
          <w:lang w:val="en-US"/>
        </w:rPr>
        <w:t>N. Stern</w:t>
      </w:r>
      <w:r w:rsidRPr="00D85932">
        <w:rPr>
          <w:smallCaps/>
          <w:spacing w:val="-5"/>
          <w:sz w:val="18"/>
          <w:szCs w:val="18"/>
          <w:lang w:val="en-US"/>
        </w:rPr>
        <w:t>,</w:t>
      </w:r>
      <w:r w:rsidRPr="00D85932">
        <w:rPr>
          <w:i/>
          <w:spacing w:val="-5"/>
          <w:sz w:val="18"/>
          <w:szCs w:val="18"/>
          <w:lang w:val="en-US"/>
        </w:rPr>
        <w:t xml:space="preserve"> The Economics of Climate Change,</w:t>
      </w:r>
      <w:r w:rsidRPr="00D85932">
        <w:rPr>
          <w:spacing w:val="-5"/>
          <w:sz w:val="18"/>
          <w:szCs w:val="18"/>
          <w:lang w:val="en-US"/>
        </w:rPr>
        <w:t xml:space="preserve"> Cambridge University Press, Cambridge, </w:t>
      </w:r>
      <w:r w:rsidR="00DF263F" w:rsidRPr="00D85932">
        <w:rPr>
          <w:spacing w:val="-5"/>
          <w:sz w:val="18"/>
          <w:szCs w:val="18"/>
          <w:lang w:val="en-US"/>
        </w:rPr>
        <w:t>2007</w:t>
      </w:r>
      <w:r w:rsidR="003C1B49">
        <w:rPr>
          <w:spacing w:val="-5"/>
          <w:sz w:val="18"/>
          <w:szCs w:val="18"/>
          <w:lang w:val="en-US"/>
        </w:rPr>
        <w:t xml:space="preserve"> </w:t>
      </w:r>
      <w:r w:rsidRPr="00D85932">
        <w:rPr>
          <w:spacing w:val="-5"/>
          <w:sz w:val="18"/>
          <w:szCs w:val="18"/>
          <w:lang w:val="en-US"/>
        </w:rPr>
        <w:t xml:space="preserve"> (</w:t>
      </w:r>
      <w:r w:rsidR="00701863">
        <w:rPr>
          <w:spacing w:val="-5"/>
          <w:sz w:val="18"/>
          <w:szCs w:val="18"/>
          <w:lang w:val="en-US"/>
        </w:rPr>
        <w:t xml:space="preserve">parts indicated during classes), </w:t>
      </w:r>
      <w:r w:rsidR="00EF3117">
        <w:rPr>
          <w:spacing w:val="-5"/>
          <w:sz w:val="18"/>
          <w:szCs w:val="18"/>
          <w:lang w:val="en-US"/>
        </w:rPr>
        <w:t xml:space="preserve">free at: </w:t>
      </w:r>
      <w:hyperlink r:id="rId7" w:history="1">
        <w:r w:rsidR="00701863" w:rsidRPr="00C17D5A">
          <w:rPr>
            <w:rStyle w:val="Collegamentoipertestuale"/>
            <w:spacing w:val="-5"/>
            <w:sz w:val="18"/>
            <w:szCs w:val="18"/>
            <w:lang w:val="en-US"/>
          </w:rPr>
          <w:t>https://webarchive.nationalarchives.gov.uk/ukgwa/20100407172811/https:/www.hm-treasury.gov.uk/stern_review_report.htm</w:t>
        </w:r>
      </w:hyperlink>
      <w:r w:rsidR="00701863">
        <w:rPr>
          <w:spacing w:val="-5"/>
          <w:sz w:val="18"/>
          <w:szCs w:val="18"/>
          <w:lang w:val="en-US"/>
        </w:rPr>
        <w:t xml:space="preserve"> </w:t>
      </w:r>
    </w:p>
    <w:p w14:paraId="6C8A5A6E" w14:textId="4BE54DB1" w:rsidR="00701863" w:rsidRDefault="00022A55" w:rsidP="00701863">
      <w:pPr>
        <w:tabs>
          <w:tab w:val="clear" w:pos="284"/>
        </w:tabs>
        <w:spacing w:before="120" w:afterLines="40" w:after="96"/>
        <w:jc w:val="left"/>
        <w:rPr>
          <w:spacing w:val="-5"/>
          <w:sz w:val="18"/>
          <w:szCs w:val="18"/>
          <w:lang w:val="en-US"/>
        </w:rPr>
      </w:pPr>
      <w:r>
        <w:rPr>
          <w:spacing w:val="-5"/>
          <w:sz w:val="18"/>
          <w:szCs w:val="18"/>
          <w:lang w:val="en-US"/>
        </w:rPr>
        <w:t>UNFCCC, Climate: Get the big picture</w:t>
      </w:r>
      <w:r w:rsidR="00EF3117">
        <w:rPr>
          <w:spacing w:val="-5"/>
          <w:sz w:val="18"/>
          <w:szCs w:val="18"/>
          <w:lang w:val="en-US"/>
        </w:rPr>
        <w:t xml:space="preserve"> </w:t>
      </w:r>
      <w:r w:rsidR="00EF3117" w:rsidRPr="00D85932">
        <w:rPr>
          <w:spacing w:val="-5"/>
          <w:sz w:val="18"/>
          <w:szCs w:val="18"/>
          <w:lang w:val="en-US"/>
        </w:rPr>
        <w:t>(</w:t>
      </w:r>
      <w:r w:rsidR="00EF3117">
        <w:rPr>
          <w:spacing w:val="-5"/>
          <w:sz w:val="18"/>
          <w:szCs w:val="18"/>
          <w:lang w:val="en-US"/>
        </w:rPr>
        <w:t>parts indicated during classes)</w:t>
      </w:r>
      <w:r>
        <w:rPr>
          <w:spacing w:val="-5"/>
          <w:sz w:val="18"/>
          <w:szCs w:val="18"/>
          <w:lang w:val="en-US"/>
        </w:rPr>
        <w:t>,</w:t>
      </w:r>
      <w:r w:rsidR="00EF3117">
        <w:rPr>
          <w:spacing w:val="-5"/>
          <w:sz w:val="18"/>
          <w:szCs w:val="18"/>
          <w:lang w:val="en-US"/>
        </w:rPr>
        <w:t xml:space="preserve"> </w:t>
      </w:r>
      <w:hyperlink r:id="rId8" w:anchor="content-the-paris-agreemen" w:history="1">
        <w:r w:rsidR="00EF3117" w:rsidRPr="00C17D5A">
          <w:rPr>
            <w:rStyle w:val="Collegamentoipertestuale"/>
            <w:spacing w:val="-5"/>
            <w:sz w:val="18"/>
            <w:szCs w:val="18"/>
            <w:lang w:val="en-US"/>
          </w:rPr>
          <w:t>https://unfccc.int/resource/bigpicture/index.html#content-the-paris-agreemen</w:t>
        </w:r>
      </w:hyperlink>
      <w:r w:rsidR="00EF3117">
        <w:rPr>
          <w:spacing w:val="-5"/>
          <w:sz w:val="18"/>
          <w:szCs w:val="18"/>
          <w:lang w:val="en-US"/>
        </w:rPr>
        <w:t xml:space="preserve"> </w:t>
      </w:r>
      <w:r>
        <w:rPr>
          <w:spacing w:val="-5"/>
          <w:sz w:val="18"/>
          <w:szCs w:val="18"/>
          <w:lang w:val="en-US"/>
        </w:rPr>
        <w:t xml:space="preserve"> </w:t>
      </w:r>
    </w:p>
    <w:p w14:paraId="14746C5A" w14:textId="52384B63" w:rsidR="00EF3117" w:rsidRPr="00EF3117" w:rsidRDefault="00EF3117" w:rsidP="00EF3117">
      <w:pPr>
        <w:spacing w:after="120"/>
        <w:ind w:right="-27"/>
        <w:jc w:val="left"/>
        <w:rPr>
          <w:sz w:val="18"/>
          <w:szCs w:val="18"/>
          <w:lang w:val="en-GB"/>
        </w:rPr>
      </w:pPr>
      <w:r w:rsidRPr="006F246F">
        <w:rPr>
          <w:smallCaps/>
          <w:sz w:val="16"/>
          <w:szCs w:val="18"/>
          <w:lang w:val="en-GB"/>
        </w:rPr>
        <w:t>N. Barbieri et al</w:t>
      </w:r>
      <w:r w:rsidR="006F246F" w:rsidRPr="006F246F">
        <w:rPr>
          <w:smallCaps/>
          <w:sz w:val="16"/>
          <w:szCs w:val="18"/>
          <w:lang w:val="en-GB"/>
        </w:rPr>
        <w:t>ii</w:t>
      </w:r>
      <w:r w:rsidRPr="00EF3117">
        <w:rPr>
          <w:sz w:val="18"/>
          <w:szCs w:val="18"/>
          <w:lang w:val="en-GB"/>
        </w:rPr>
        <w:t xml:space="preserve">, </w:t>
      </w:r>
      <w:r w:rsidRPr="00EF3117">
        <w:rPr>
          <w:i/>
          <w:sz w:val="18"/>
          <w:szCs w:val="18"/>
          <w:lang w:val="en-GB"/>
        </w:rPr>
        <w:t>Sustainability transition and the European Green Deal: A macro-dynamic perspective</w:t>
      </w:r>
      <w:r w:rsidRPr="00EF3117">
        <w:rPr>
          <w:sz w:val="18"/>
          <w:szCs w:val="18"/>
          <w:lang w:val="en-GB"/>
        </w:rPr>
        <w:t>, Eionet Report - ETC/WMGE 2021/8 December 2021</w:t>
      </w:r>
      <w:r>
        <w:rPr>
          <w:sz w:val="18"/>
          <w:szCs w:val="18"/>
          <w:lang w:val="en-GB"/>
        </w:rPr>
        <w:t xml:space="preserve"> </w:t>
      </w:r>
      <w:r w:rsidRPr="00D85932">
        <w:rPr>
          <w:spacing w:val="-5"/>
          <w:sz w:val="18"/>
          <w:szCs w:val="18"/>
          <w:lang w:val="en-US"/>
        </w:rPr>
        <w:t>(</w:t>
      </w:r>
      <w:r>
        <w:rPr>
          <w:spacing w:val="-5"/>
          <w:sz w:val="18"/>
          <w:szCs w:val="18"/>
          <w:lang w:val="en-US"/>
        </w:rPr>
        <w:t>parts indicated during classes)</w:t>
      </w:r>
      <w:r w:rsidRPr="00EF3117">
        <w:rPr>
          <w:sz w:val="18"/>
          <w:szCs w:val="18"/>
          <w:lang w:val="en-GB"/>
        </w:rPr>
        <w:t xml:space="preserve">, </w:t>
      </w:r>
      <w:hyperlink r:id="rId9" w:history="1">
        <w:r w:rsidRPr="00EF3117">
          <w:rPr>
            <w:rStyle w:val="Collegamentoipertestuale"/>
            <w:sz w:val="18"/>
            <w:szCs w:val="18"/>
            <w:lang w:val="en-GB"/>
          </w:rPr>
          <w:t>https://www.eionet.europa.eu/etcs/etc-wmge/products/sustainability-transition-and-the-european-green-deal-a-macro-dynamic-perspective-1</w:t>
        </w:r>
      </w:hyperlink>
    </w:p>
    <w:p w14:paraId="72A62785" w14:textId="0BF0A07E" w:rsidR="00735B8E" w:rsidRPr="00D33C12" w:rsidRDefault="00735B8E" w:rsidP="004839B6">
      <w:pPr>
        <w:spacing w:before="240" w:afterLines="40" w:after="96"/>
        <w:rPr>
          <w:b/>
          <w:i/>
          <w:sz w:val="18"/>
          <w:szCs w:val="18"/>
          <w:lang w:val="en-GB"/>
        </w:rPr>
      </w:pPr>
      <w:r w:rsidRPr="00D33C12">
        <w:rPr>
          <w:b/>
          <w:i/>
          <w:sz w:val="18"/>
          <w:szCs w:val="18"/>
          <w:lang w:val="en-GB"/>
        </w:rPr>
        <w:t>TEACHING METHOD</w:t>
      </w:r>
    </w:p>
    <w:p w14:paraId="6B470476" w14:textId="473A0803" w:rsidR="00735B8E" w:rsidRPr="00D33C12" w:rsidRDefault="000B551F" w:rsidP="004839B6">
      <w:pPr>
        <w:pStyle w:val="Testo2"/>
        <w:spacing w:afterLines="40" w:after="96" w:line="240" w:lineRule="auto"/>
        <w:rPr>
          <w:lang w:val="en-GB"/>
        </w:rPr>
      </w:pPr>
      <w:r w:rsidRPr="00D33C12">
        <w:rPr>
          <w:lang w:val="en-GB"/>
        </w:rPr>
        <w:t>L</w:t>
      </w:r>
      <w:r w:rsidR="00735B8E" w:rsidRPr="00D33C12">
        <w:rPr>
          <w:lang w:val="en-GB"/>
        </w:rPr>
        <w:t>ectures</w:t>
      </w:r>
      <w:r w:rsidR="000B295F">
        <w:rPr>
          <w:lang w:val="en-GB"/>
        </w:rPr>
        <w:t xml:space="preserve">, </w:t>
      </w:r>
      <w:r w:rsidR="007B50A1">
        <w:rPr>
          <w:lang w:val="en-GB"/>
        </w:rPr>
        <w:t xml:space="preserve">in </w:t>
      </w:r>
      <w:r w:rsidR="000B295F">
        <w:rPr>
          <w:lang w:val="en-GB"/>
        </w:rPr>
        <w:t>which s</w:t>
      </w:r>
      <w:r w:rsidR="000B295F" w:rsidRPr="000B295F">
        <w:rPr>
          <w:lang w:val="en-GB"/>
        </w:rPr>
        <w:t xml:space="preserve">tudents are </w:t>
      </w:r>
      <w:r w:rsidR="00A53989">
        <w:rPr>
          <w:lang w:val="en-GB"/>
        </w:rPr>
        <w:t>invited</w:t>
      </w:r>
      <w:r w:rsidR="000B295F" w:rsidRPr="000B295F">
        <w:rPr>
          <w:lang w:val="en-GB"/>
        </w:rPr>
        <w:t xml:space="preserve"> to actively participate </w:t>
      </w:r>
      <w:r w:rsidR="000B295F">
        <w:rPr>
          <w:lang w:val="en-GB"/>
        </w:rPr>
        <w:t>with</w:t>
      </w:r>
      <w:r w:rsidR="000B295F" w:rsidRPr="000B295F">
        <w:rPr>
          <w:lang w:val="en-GB"/>
        </w:rPr>
        <w:t xml:space="preserve"> </w:t>
      </w:r>
      <w:r w:rsidR="000B295F">
        <w:rPr>
          <w:lang w:val="en-GB"/>
        </w:rPr>
        <w:t xml:space="preserve">a </w:t>
      </w:r>
      <w:r w:rsidR="000B295F" w:rsidRPr="000B295F">
        <w:rPr>
          <w:lang w:val="en-GB"/>
        </w:rPr>
        <w:t>good deal of curiosity, open</w:t>
      </w:r>
      <w:r w:rsidR="007B50A1">
        <w:rPr>
          <w:lang w:val="en-GB"/>
        </w:rPr>
        <w:t>-minde</w:t>
      </w:r>
      <w:r w:rsidR="000B295F" w:rsidRPr="000B295F">
        <w:rPr>
          <w:lang w:val="en-GB"/>
        </w:rPr>
        <w:t>ness</w:t>
      </w:r>
      <w:r w:rsidR="007B50A1">
        <w:rPr>
          <w:lang w:val="en-GB"/>
        </w:rPr>
        <w:t xml:space="preserve">, </w:t>
      </w:r>
      <w:r w:rsidR="000B295F" w:rsidRPr="000B295F">
        <w:rPr>
          <w:lang w:val="en-GB"/>
        </w:rPr>
        <w:t>and enthusiasm.</w:t>
      </w:r>
    </w:p>
    <w:bookmarkEnd w:id="3"/>
    <w:p w14:paraId="21616C60" w14:textId="77777777" w:rsidR="00C86A9B" w:rsidRPr="00906645" w:rsidRDefault="00C86A9B" w:rsidP="004839B6">
      <w:pPr>
        <w:spacing w:before="240" w:afterLines="40" w:after="96"/>
        <w:rPr>
          <w:b/>
          <w:i/>
          <w:sz w:val="18"/>
          <w:lang w:val="en-US"/>
        </w:rPr>
      </w:pPr>
      <w:r w:rsidRPr="00906645">
        <w:rPr>
          <w:b/>
          <w:i/>
          <w:sz w:val="18"/>
          <w:lang w:val="en-US"/>
        </w:rPr>
        <w:t>ASSESSMENT METHOD AND CRITERIA</w:t>
      </w:r>
    </w:p>
    <w:p w14:paraId="2F71F83D" w14:textId="5191E91E" w:rsidR="00C86A9B" w:rsidRPr="007C742B" w:rsidRDefault="00C86A9B" w:rsidP="004839B6">
      <w:pPr>
        <w:pStyle w:val="Testo2"/>
        <w:spacing w:afterLines="40" w:after="96" w:line="240" w:lineRule="auto"/>
        <w:rPr>
          <w:lang w:val="en-US"/>
        </w:rPr>
      </w:pPr>
      <w:bookmarkStart w:id="5" w:name="_Hlk8746239"/>
      <w:r w:rsidRPr="007C742B">
        <w:rPr>
          <w:lang w:val="en-US"/>
        </w:rPr>
        <w:t>The exam is a written paper – administered through during official dates (appelli) – composed by multiple choice questions (accounting for 40% of the final mark) and open questions (accounting for 60% of the final mark). The final score will be expressed out of thirty points and will take account of the student's level of understanding, knowledge, use of the appropriate tools and ability to discuss themes and topics covered in lectures.</w:t>
      </w:r>
      <w:r w:rsidR="004839B6">
        <w:rPr>
          <w:lang w:val="en-US"/>
        </w:rPr>
        <w:t xml:space="preserve"> </w:t>
      </w:r>
      <w:r w:rsidRPr="007C742B">
        <w:rPr>
          <w:lang w:val="en-US"/>
        </w:rPr>
        <w:t>Exact dates will be displayed on the I-catt portal</w:t>
      </w:r>
      <w:r w:rsidR="00E657D9">
        <w:rPr>
          <w:lang w:val="en-US"/>
        </w:rPr>
        <w:t>.</w:t>
      </w:r>
    </w:p>
    <w:bookmarkEnd w:id="5"/>
    <w:p w14:paraId="70D1978A" w14:textId="77777777" w:rsidR="00C86A9B" w:rsidRPr="00514034" w:rsidRDefault="00C86A9B" w:rsidP="004839B6">
      <w:pPr>
        <w:spacing w:before="240" w:afterLines="40" w:after="96"/>
        <w:rPr>
          <w:b/>
          <w:i/>
          <w:sz w:val="18"/>
          <w:lang w:val="en-US"/>
        </w:rPr>
      </w:pPr>
      <w:r w:rsidRPr="00514034">
        <w:rPr>
          <w:b/>
          <w:i/>
          <w:sz w:val="18"/>
          <w:lang w:val="en-US"/>
        </w:rPr>
        <w:t>NOTES AND PREREQUISITES</w:t>
      </w:r>
    </w:p>
    <w:p w14:paraId="70C9F343" w14:textId="5493F61F" w:rsidR="00C86A9B" w:rsidRPr="00443E94" w:rsidRDefault="00C86A9B" w:rsidP="004839B6">
      <w:pPr>
        <w:pStyle w:val="Testo2"/>
        <w:spacing w:afterLines="40" w:after="96" w:line="240" w:lineRule="auto"/>
        <w:rPr>
          <w:lang w:val="en-GB"/>
        </w:rPr>
      </w:pPr>
      <w:bookmarkStart w:id="6" w:name="_Hlk8746455"/>
      <w:r w:rsidRPr="00443E94">
        <w:rPr>
          <w:lang w:val="en-GB"/>
        </w:rPr>
        <w:t>Students are strongly advised to attend lectures</w:t>
      </w:r>
      <w:r w:rsidR="004839B6">
        <w:rPr>
          <w:lang w:val="en-GB"/>
        </w:rPr>
        <w:t xml:space="preserve">, </w:t>
      </w:r>
      <w:r w:rsidRPr="00443E94">
        <w:rPr>
          <w:lang w:val="en-GB"/>
        </w:rPr>
        <w:t xml:space="preserve">to study the content on a </w:t>
      </w:r>
      <w:r w:rsidR="002C39EB">
        <w:rPr>
          <w:lang w:val="en-GB"/>
        </w:rPr>
        <w:t>regular</w:t>
      </w:r>
      <w:r w:rsidRPr="00443E94">
        <w:rPr>
          <w:lang w:val="en-GB"/>
        </w:rPr>
        <w:t xml:space="preserve"> basis and to take active parts in every side activity put forward by the </w:t>
      </w:r>
      <w:r w:rsidR="002C39EB">
        <w:rPr>
          <w:lang w:val="en-GB"/>
        </w:rPr>
        <w:t>professor</w:t>
      </w:r>
      <w:r w:rsidRPr="00443E94">
        <w:rPr>
          <w:lang w:val="en-GB"/>
        </w:rPr>
        <w:t>.</w:t>
      </w:r>
    </w:p>
    <w:p w14:paraId="0E864196" w14:textId="56DB8D86" w:rsidR="00C86A9B" w:rsidRPr="00F14A09" w:rsidRDefault="00C86A9B" w:rsidP="004839B6">
      <w:pPr>
        <w:pStyle w:val="Testo2"/>
        <w:spacing w:afterLines="40" w:after="96" w:line="240" w:lineRule="auto"/>
        <w:rPr>
          <w:lang w:val="en-GB"/>
        </w:rPr>
      </w:pPr>
      <w:r w:rsidRPr="00F14A09">
        <w:rPr>
          <w:noProof w:val="0"/>
          <w:lang w:val="en-GB"/>
        </w:rPr>
        <w:t xml:space="preserve">The Blackboard platform provides the main online communication tool between </w:t>
      </w:r>
      <w:r w:rsidR="004839B6">
        <w:rPr>
          <w:noProof w:val="0"/>
          <w:lang w:val="en-GB"/>
        </w:rPr>
        <w:t>the professor</w:t>
      </w:r>
      <w:r w:rsidRPr="00F14A09">
        <w:rPr>
          <w:noProof w:val="0"/>
          <w:lang w:val="en-GB"/>
        </w:rPr>
        <w:t xml:space="preserve"> and students and the repository for didactic materials made available after lectures</w:t>
      </w:r>
      <w:r w:rsidRPr="00F14A09">
        <w:rPr>
          <w:lang w:val="en-GB"/>
        </w:rPr>
        <w:t>.</w:t>
      </w:r>
    </w:p>
    <w:p w14:paraId="4F8ECEDD" w14:textId="77777777" w:rsidR="00C86A9B" w:rsidRPr="00443E94" w:rsidRDefault="00C86A9B" w:rsidP="006F246F">
      <w:pPr>
        <w:pStyle w:val="Testo2"/>
        <w:tabs>
          <w:tab w:val="left" w:pos="3632"/>
        </w:tabs>
        <w:spacing w:line="240" w:lineRule="auto"/>
        <w:rPr>
          <w:i/>
          <w:lang w:val="en-GB"/>
        </w:rPr>
      </w:pPr>
      <w:r w:rsidRPr="00443E94">
        <w:rPr>
          <w:i/>
          <w:lang w:val="en-GB"/>
        </w:rPr>
        <w:t>Place and time of consultation hours</w:t>
      </w:r>
    </w:p>
    <w:p w14:paraId="34A2D70B" w14:textId="2FA82002" w:rsidR="00C86A9B" w:rsidRPr="00C50599" w:rsidRDefault="00C86A9B" w:rsidP="006F246F">
      <w:pPr>
        <w:pStyle w:val="Testo2"/>
        <w:rPr>
          <w:lang w:val="en-GB"/>
        </w:rPr>
      </w:pPr>
      <w:r w:rsidRPr="00F6311B">
        <w:rPr>
          <w:lang w:val="en-GB"/>
        </w:rPr>
        <w:t xml:space="preserve">Students are welcome to contact Prof. </w:t>
      </w:r>
      <w:r w:rsidR="003C1B49">
        <w:rPr>
          <w:lang w:val="en-GB"/>
        </w:rPr>
        <w:t>Roberto Zoboli</w:t>
      </w:r>
      <w:r w:rsidRPr="00F6311B">
        <w:rPr>
          <w:lang w:val="en-GB"/>
        </w:rPr>
        <w:t xml:space="preserve"> </w:t>
      </w:r>
      <w:r w:rsidR="00634F10" w:rsidRPr="00F6311B">
        <w:rPr>
          <w:lang w:val="en-GB"/>
        </w:rPr>
        <w:t xml:space="preserve">by appointment </w:t>
      </w:r>
      <w:r w:rsidRPr="00F6311B">
        <w:rPr>
          <w:lang w:val="en-GB"/>
        </w:rPr>
        <w:t>at DISEIS - Dipartimento di Economia Internazionale, delle Istituzioni e dello Sviluppo (Via Necchi 5, fifth floor)</w:t>
      </w:r>
      <w:r w:rsidR="00634F10">
        <w:rPr>
          <w:lang w:val="en-GB"/>
        </w:rPr>
        <w:t xml:space="preserve"> </w:t>
      </w:r>
      <w:r w:rsidR="00634F10" w:rsidRPr="00D33C12">
        <w:rPr>
          <w:lang w:val="en-GB"/>
        </w:rPr>
        <w:t xml:space="preserve">or, at student’s choice, by </w:t>
      </w:r>
      <w:r w:rsidR="003C1B49">
        <w:rPr>
          <w:lang w:val="en-GB"/>
        </w:rPr>
        <w:t>Teams</w:t>
      </w:r>
      <w:r w:rsidR="00634F10" w:rsidRPr="00D33C12">
        <w:rPr>
          <w:lang w:val="en-GB"/>
        </w:rPr>
        <w:t xml:space="preserve"> meeting.</w:t>
      </w:r>
      <w:r w:rsidR="00C50599">
        <w:rPr>
          <w:lang w:val="en-GB"/>
        </w:rPr>
        <w:t xml:space="preserve"> </w:t>
      </w:r>
      <w:r w:rsidRPr="007C742B">
        <w:rPr>
          <w:lang w:val="en-US"/>
        </w:rPr>
        <w:t xml:space="preserve">The </w:t>
      </w:r>
      <w:r w:rsidR="00634F10">
        <w:rPr>
          <w:lang w:val="en-US"/>
        </w:rPr>
        <w:t>professor</w:t>
      </w:r>
      <w:r w:rsidRPr="007C742B">
        <w:rPr>
          <w:lang w:val="en-US"/>
        </w:rPr>
        <w:t xml:space="preserve"> is also available for short conversations at the end of all lectures</w:t>
      </w:r>
      <w:bookmarkEnd w:id="6"/>
      <w:r w:rsidRPr="007C742B">
        <w:rPr>
          <w:lang w:val="en-US"/>
        </w:rPr>
        <w:t>.</w:t>
      </w:r>
    </w:p>
    <w:sectPr w:rsidR="00C86A9B" w:rsidRPr="00C5059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816"/>
    <w:multiLevelType w:val="hybridMultilevel"/>
    <w:tmpl w:val="BA3C0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1776757"/>
    <w:multiLevelType w:val="multilevel"/>
    <w:tmpl w:val="681A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2B"/>
    <w:rsid w:val="00016E9B"/>
    <w:rsid w:val="00022A55"/>
    <w:rsid w:val="00056651"/>
    <w:rsid w:val="00072314"/>
    <w:rsid w:val="00073A73"/>
    <w:rsid w:val="000A7545"/>
    <w:rsid w:val="000B295F"/>
    <w:rsid w:val="000B551F"/>
    <w:rsid w:val="000D53D3"/>
    <w:rsid w:val="000F69FD"/>
    <w:rsid w:val="000F7A70"/>
    <w:rsid w:val="00116EAC"/>
    <w:rsid w:val="00137702"/>
    <w:rsid w:val="001569D8"/>
    <w:rsid w:val="001822EF"/>
    <w:rsid w:val="00187B99"/>
    <w:rsid w:val="001D0069"/>
    <w:rsid w:val="001F3CF0"/>
    <w:rsid w:val="002014DD"/>
    <w:rsid w:val="002115E8"/>
    <w:rsid w:val="00217045"/>
    <w:rsid w:val="00225F44"/>
    <w:rsid w:val="0025391B"/>
    <w:rsid w:val="002660ED"/>
    <w:rsid w:val="00267337"/>
    <w:rsid w:val="0028418B"/>
    <w:rsid w:val="00296BC9"/>
    <w:rsid w:val="002A19CF"/>
    <w:rsid w:val="002B1216"/>
    <w:rsid w:val="002B4157"/>
    <w:rsid w:val="002C39EB"/>
    <w:rsid w:val="002C6561"/>
    <w:rsid w:val="002F537D"/>
    <w:rsid w:val="003118F7"/>
    <w:rsid w:val="00321E33"/>
    <w:rsid w:val="00323F87"/>
    <w:rsid w:val="00325277"/>
    <w:rsid w:val="00340B0C"/>
    <w:rsid w:val="00355C2B"/>
    <w:rsid w:val="00384CAC"/>
    <w:rsid w:val="003A1D3B"/>
    <w:rsid w:val="003C1B49"/>
    <w:rsid w:val="003C1D68"/>
    <w:rsid w:val="003F0FD9"/>
    <w:rsid w:val="003F6EDA"/>
    <w:rsid w:val="003F7137"/>
    <w:rsid w:val="0041452E"/>
    <w:rsid w:val="00420112"/>
    <w:rsid w:val="0047329E"/>
    <w:rsid w:val="00475DBE"/>
    <w:rsid w:val="00476222"/>
    <w:rsid w:val="00476FD9"/>
    <w:rsid w:val="00480D8A"/>
    <w:rsid w:val="004839B6"/>
    <w:rsid w:val="004A7B84"/>
    <w:rsid w:val="004D1217"/>
    <w:rsid w:val="004D226C"/>
    <w:rsid w:val="004D55BA"/>
    <w:rsid w:val="004D6008"/>
    <w:rsid w:val="004E1249"/>
    <w:rsid w:val="004E38A0"/>
    <w:rsid w:val="004F1FF4"/>
    <w:rsid w:val="004F4090"/>
    <w:rsid w:val="0052283C"/>
    <w:rsid w:val="0054272B"/>
    <w:rsid w:val="00583975"/>
    <w:rsid w:val="005B04A5"/>
    <w:rsid w:val="005B4CAC"/>
    <w:rsid w:val="005C6B11"/>
    <w:rsid w:val="005E559E"/>
    <w:rsid w:val="005F22D0"/>
    <w:rsid w:val="00631CB2"/>
    <w:rsid w:val="00634F10"/>
    <w:rsid w:val="006366A2"/>
    <w:rsid w:val="00644F75"/>
    <w:rsid w:val="006E2091"/>
    <w:rsid w:val="006F1772"/>
    <w:rsid w:val="006F246F"/>
    <w:rsid w:val="00701863"/>
    <w:rsid w:val="00701934"/>
    <w:rsid w:val="00735B8E"/>
    <w:rsid w:val="00745EE8"/>
    <w:rsid w:val="00765BCF"/>
    <w:rsid w:val="00772B8E"/>
    <w:rsid w:val="00773E52"/>
    <w:rsid w:val="00774DCE"/>
    <w:rsid w:val="00775556"/>
    <w:rsid w:val="00787A40"/>
    <w:rsid w:val="007A0BD3"/>
    <w:rsid w:val="007B50A1"/>
    <w:rsid w:val="007B7372"/>
    <w:rsid w:val="007C189F"/>
    <w:rsid w:val="007E3A80"/>
    <w:rsid w:val="00802C04"/>
    <w:rsid w:val="00804B5C"/>
    <w:rsid w:val="0080760D"/>
    <w:rsid w:val="0081399D"/>
    <w:rsid w:val="008156EC"/>
    <w:rsid w:val="00853947"/>
    <w:rsid w:val="008A02EC"/>
    <w:rsid w:val="008A1204"/>
    <w:rsid w:val="008C2BAB"/>
    <w:rsid w:val="008E1661"/>
    <w:rsid w:val="00900CCA"/>
    <w:rsid w:val="00902C3F"/>
    <w:rsid w:val="0092297F"/>
    <w:rsid w:val="00923FCD"/>
    <w:rsid w:val="00924B77"/>
    <w:rsid w:val="009264A4"/>
    <w:rsid w:val="00940DA2"/>
    <w:rsid w:val="009422B2"/>
    <w:rsid w:val="0095267B"/>
    <w:rsid w:val="00962D78"/>
    <w:rsid w:val="00985CCB"/>
    <w:rsid w:val="009C4C2F"/>
    <w:rsid w:val="009D46FA"/>
    <w:rsid w:val="009D6576"/>
    <w:rsid w:val="009E055C"/>
    <w:rsid w:val="009E3473"/>
    <w:rsid w:val="009E5997"/>
    <w:rsid w:val="009F2EBD"/>
    <w:rsid w:val="00A05FF3"/>
    <w:rsid w:val="00A53989"/>
    <w:rsid w:val="00A6150A"/>
    <w:rsid w:val="00A66A4C"/>
    <w:rsid w:val="00A67951"/>
    <w:rsid w:val="00A74F6F"/>
    <w:rsid w:val="00AA0CD9"/>
    <w:rsid w:val="00AB57BE"/>
    <w:rsid w:val="00AE7A85"/>
    <w:rsid w:val="00B00B14"/>
    <w:rsid w:val="00B21F87"/>
    <w:rsid w:val="00B33C5B"/>
    <w:rsid w:val="00B34348"/>
    <w:rsid w:val="00B34D67"/>
    <w:rsid w:val="00B41766"/>
    <w:rsid w:val="00B525CC"/>
    <w:rsid w:val="00B83312"/>
    <w:rsid w:val="00B941B0"/>
    <w:rsid w:val="00B96DEB"/>
    <w:rsid w:val="00BD101E"/>
    <w:rsid w:val="00BF40E7"/>
    <w:rsid w:val="00C458BF"/>
    <w:rsid w:val="00C50599"/>
    <w:rsid w:val="00C51248"/>
    <w:rsid w:val="00C572B9"/>
    <w:rsid w:val="00C86A9B"/>
    <w:rsid w:val="00CC7910"/>
    <w:rsid w:val="00CF6DDE"/>
    <w:rsid w:val="00D33C12"/>
    <w:rsid w:val="00D404F2"/>
    <w:rsid w:val="00D40517"/>
    <w:rsid w:val="00D414F8"/>
    <w:rsid w:val="00D778B4"/>
    <w:rsid w:val="00D81EC9"/>
    <w:rsid w:val="00D84F3F"/>
    <w:rsid w:val="00D85932"/>
    <w:rsid w:val="00D97575"/>
    <w:rsid w:val="00DA479B"/>
    <w:rsid w:val="00DD57C8"/>
    <w:rsid w:val="00DE0B5E"/>
    <w:rsid w:val="00DE0BCF"/>
    <w:rsid w:val="00DF263F"/>
    <w:rsid w:val="00E06DBC"/>
    <w:rsid w:val="00E07003"/>
    <w:rsid w:val="00E0798C"/>
    <w:rsid w:val="00E251BF"/>
    <w:rsid w:val="00E323F9"/>
    <w:rsid w:val="00E56F05"/>
    <w:rsid w:val="00E607E6"/>
    <w:rsid w:val="00E61C13"/>
    <w:rsid w:val="00E657D9"/>
    <w:rsid w:val="00E71027"/>
    <w:rsid w:val="00EA1C69"/>
    <w:rsid w:val="00EB23E1"/>
    <w:rsid w:val="00EB38D7"/>
    <w:rsid w:val="00EB5807"/>
    <w:rsid w:val="00EF3117"/>
    <w:rsid w:val="00F3081A"/>
    <w:rsid w:val="00F42630"/>
    <w:rsid w:val="00F466BE"/>
    <w:rsid w:val="00F6311B"/>
    <w:rsid w:val="00F819B8"/>
    <w:rsid w:val="00FA33AA"/>
    <w:rsid w:val="00FA7E7E"/>
    <w:rsid w:val="00FC033B"/>
    <w:rsid w:val="00FF042B"/>
    <w:rsid w:val="00FF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84938"/>
  <w15:docId w15:val="{D2AD3BA8-A81B-435D-A659-003FBE91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4F6F"/>
    <w:pPr>
      <w:tabs>
        <w:tab w:val="left" w:pos="284"/>
      </w:tabs>
      <w:ind w:left="284" w:hanging="284"/>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9E5997"/>
    <w:rPr>
      <w:color w:val="0000FF" w:themeColor="hyperlink"/>
      <w:u w:val="single"/>
    </w:rPr>
  </w:style>
  <w:style w:type="paragraph" w:styleId="Titolosommario">
    <w:name w:val="TOC Heading"/>
    <w:basedOn w:val="Titolo1"/>
    <w:next w:val="Normale"/>
    <w:uiPriority w:val="39"/>
    <w:unhideWhenUsed/>
    <w:qFormat/>
    <w:rsid w:val="003C1D68"/>
    <w:pPr>
      <w:keepNext/>
      <w:keepLines/>
      <w:spacing w:line="276" w:lineRule="auto"/>
      <w:ind w:left="0" w:firstLine="0"/>
      <w:jc w:val="left"/>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3C1D68"/>
    <w:pPr>
      <w:tabs>
        <w:tab w:val="clear" w:pos="284"/>
      </w:tabs>
      <w:spacing w:after="100"/>
      <w:ind w:left="0"/>
    </w:pPr>
  </w:style>
  <w:style w:type="paragraph" w:styleId="Sommario2">
    <w:name w:val="toc 2"/>
    <w:basedOn w:val="Normale"/>
    <w:next w:val="Normale"/>
    <w:autoRedefine/>
    <w:uiPriority w:val="39"/>
    <w:rsid w:val="00FF042B"/>
    <w:pPr>
      <w:tabs>
        <w:tab w:val="clear" w:pos="284"/>
        <w:tab w:val="right" w:pos="6680"/>
      </w:tabs>
      <w:spacing w:after="100"/>
      <w:ind w:left="200"/>
    </w:pPr>
    <w:rPr>
      <w:rFonts w:ascii="Times" w:hAnsi="Times"/>
      <w:noProof/>
      <w:lang w:val="en-GB"/>
    </w:rPr>
  </w:style>
  <w:style w:type="paragraph" w:styleId="Testofumetto">
    <w:name w:val="Balloon Text"/>
    <w:basedOn w:val="Normale"/>
    <w:link w:val="TestofumettoCarattere"/>
    <w:rsid w:val="003C1D68"/>
    <w:rPr>
      <w:rFonts w:ascii="Tahoma" w:hAnsi="Tahoma" w:cs="Tahoma"/>
      <w:sz w:val="16"/>
      <w:szCs w:val="16"/>
    </w:rPr>
  </w:style>
  <w:style w:type="character" w:customStyle="1" w:styleId="TestofumettoCarattere">
    <w:name w:val="Testo fumetto Carattere"/>
    <w:basedOn w:val="Carpredefinitoparagrafo"/>
    <w:link w:val="Testofumetto"/>
    <w:rsid w:val="003C1D68"/>
    <w:rPr>
      <w:rFonts w:ascii="Tahoma" w:hAnsi="Tahoma" w:cs="Tahoma"/>
      <w:sz w:val="16"/>
      <w:szCs w:val="16"/>
    </w:rPr>
  </w:style>
  <w:style w:type="character" w:customStyle="1" w:styleId="bodyhdred">
    <w:name w:val="bodyhdred"/>
    <w:rsid w:val="00476FD9"/>
  </w:style>
  <w:style w:type="paragraph" w:customStyle="1" w:styleId="CorpoA">
    <w:name w:val="Corpo A"/>
    <w:rsid w:val="00476FD9"/>
    <w:pPr>
      <w:pBdr>
        <w:top w:val="nil"/>
        <w:left w:val="nil"/>
        <w:bottom w:val="nil"/>
        <w:right w:val="nil"/>
        <w:between w:val="nil"/>
        <w:bar w:val="nil"/>
      </w:pBdr>
      <w:tabs>
        <w:tab w:val="left" w:pos="284"/>
      </w:tabs>
      <w:ind w:left="284" w:hanging="284"/>
      <w:jc w:val="both"/>
    </w:pPr>
    <w:rPr>
      <w:rFonts w:eastAsia="Arial Unicode MS" w:cs="Arial Unicode MS"/>
      <w:color w:val="000000"/>
      <w:u w:color="000000"/>
      <w:bdr w:val="nil"/>
      <w:lang w:val="en-US"/>
    </w:rPr>
  </w:style>
  <w:style w:type="character" w:customStyle="1" w:styleId="Testo2Carattere">
    <w:name w:val="Testo 2 Carattere"/>
    <w:link w:val="Testo2"/>
    <w:locked/>
    <w:rsid w:val="00476FD9"/>
    <w:rPr>
      <w:rFonts w:ascii="Times" w:hAnsi="Times"/>
      <w:noProof/>
      <w:sz w:val="18"/>
    </w:rPr>
  </w:style>
  <w:style w:type="character" w:styleId="Rimandocommento">
    <w:name w:val="annotation reference"/>
    <w:basedOn w:val="Carpredefinitoparagrafo"/>
    <w:semiHidden/>
    <w:unhideWhenUsed/>
    <w:rsid w:val="00C572B9"/>
    <w:rPr>
      <w:sz w:val="16"/>
      <w:szCs w:val="16"/>
    </w:rPr>
  </w:style>
  <w:style w:type="paragraph" w:styleId="Testocommento">
    <w:name w:val="annotation text"/>
    <w:basedOn w:val="Normale"/>
    <w:link w:val="TestocommentoCarattere"/>
    <w:semiHidden/>
    <w:unhideWhenUsed/>
    <w:rsid w:val="00C572B9"/>
    <w:rPr>
      <w:szCs w:val="20"/>
    </w:rPr>
  </w:style>
  <w:style w:type="character" w:customStyle="1" w:styleId="TestocommentoCarattere">
    <w:name w:val="Testo commento Carattere"/>
    <w:basedOn w:val="Carpredefinitoparagrafo"/>
    <w:link w:val="Testocommento"/>
    <w:semiHidden/>
    <w:rsid w:val="00C572B9"/>
  </w:style>
  <w:style w:type="paragraph" w:styleId="Soggettocommento">
    <w:name w:val="annotation subject"/>
    <w:basedOn w:val="Testocommento"/>
    <w:next w:val="Testocommento"/>
    <w:link w:val="SoggettocommentoCarattere"/>
    <w:semiHidden/>
    <w:unhideWhenUsed/>
    <w:rsid w:val="00C572B9"/>
    <w:rPr>
      <w:b/>
      <w:bCs/>
    </w:rPr>
  </w:style>
  <w:style w:type="character" w:customStyle="1" w:styleId="SoggettocommentoCarattere">
    <w:name w:val="Soggetto commento Carattere"/>
    <w:basedOn w:val="TestocommentoCarattere"/>
    <w:link w:val="Soggettocommento"/>
    <w:semiHidden/>
    <w:rsid w:val="00C572B9"/>
    <w:rPr>
      <w:b/>
      <w:bCs/>
    </w:rPr>
  </w:style>
  <w:style w:type="paragraph" w:styleId="PreformattatoHTML">
    <w:name w:val="HTML Preformatted"/>
    <w:basedOn w:val="Normale"/>
    <w:link w:val="PreformattatoHTMLCarattere"/>
    <w:uiPriority w:val="99"/>
    <w:semiHidden/>
    <w:unhideWhenUsed/>
    <w:rsid w:val="00D778B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D778B4"/>
    <w:rPr>
      <w:rFonts w:ascii="Courier New" w:hAnsi="Courier New" w:cs="Courier New"/>
    </w:rPr>
  </w:style>
  <w:style w:type="paragraph" w:styleId="NormaleWeb">
    <w:name w:val="Normal (Web)"/>
    <w:basedOn w:val="Normale"/>
    <w:uiPriority w:val="99"/>
    <w:unhideWhenUsed/>
    <w:rsid w:val="00EB5807"/>
    <w:pPr>
      <w:tabs>
        <w:tab w:val="clear" w:pos="284"/>
      </w:tabs>
      <w:ind w:left="0" w:firstLine="0"/>
      <w:jc w:val="left"/>
    </w:pPr>
    <w:rPr>
      <w:rFonts w:eastAsia="Calibri"/>
      <w:sz w:val="24"/>
    </w:rPr>
  </w:style>
  <w:style w:type="paragraph" w:styleId="Revisione">
    <w:name w:val="Revision"/>
    <w:hidden/>
    <w:uiPriority w:val="99"/>
    <w:semiHidden/>
    <w:rsid w:val="00116EAC"/>
    <w:rPr>
      <w:szCs w:val="24"/>
    </w:rPr>
  </w:style>
  <w:style w:type="paragraph" w:styleId="Paragrafoelenco">
    <w:name w:val="List Paragraph"/>
    <w:basedOn w:val="Normale"/>
    <w:uiPriority w:val="34"/>
    <w:qFormat/>
    <w:rsid w:val="003C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8279">
      <w:bodyDiv w:val="1"/>
      <w:marLeft w:val="0"/>
      <w:marRight w:val="0"/>
      <w:marTop w:val="0"/>
      <w:marBottom w:val="0"/>
      <w:divBdr>
        <w:top w:val="none" w:sz="0" w:space="0" w:color="auto"/>
        <w:left w:val="none" w:sz="0" w:space="0" w:color="auto"/>
        <w:bottom w:val="none" w:sz="0" w:space="0" w:color="auto"/>
        <w:right w:val="none" w:sz="0" w:space="0" w:color="auto"/>
      </w:divBdr>
    </w:div>
    <w:div w:id="496386417">
      <w:bodyDiv w:val="1"/>
      <w:marLeft w:val="0"/>
      <w:marRight w:val="0"/>
      <w:marTop w:val="0"/>
      <w:marBottom w:val="0"/>
      <w:divBdr>
        <w:top w:val="none" w:sz="0" w:space="0" w:color="auto"/>
        <w:left w:val="none" w:sz="0" w:space="0" w:color="auto"/>
        <w:bottom w:val="none" w:sz="0" w:space="0" w:color="auto"/>
        <w:right w:val="none" w:sz="0" w:space="0" w:color="auto"/>
      </w:divBdr>
    </w:div>
    <w:div w:id="1825733824">
      <w:bodyDiv w:val="1"/>
      <w:marLeft w:val="0"/>
      <w:marRight w:val="0"/>
      <w:marTop w:val="0"/>
      <w:marBottom w:val="0"/>
      <w:divBdr>
        <w:top w:val="none" w:sz="0" w:space="0" w:color="auto"/>
        <w:left w:val="none" w:sz="0" w:space="0" w:color="auto"/>
        <w:bottom w:val="none" w:sz="0" w:space="0" w:color="auto"/>
        <w:right w:val="none" w:sz="0" w:space="0" w:color="auto"/>
      </w:divBdr>
    </w:div>
    <w:div w:id="19846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resource/bigpicture/index.html" TargetMode="External"/><Relationship Id="rId3" Type="http://schemas.openxmlformats.org/officeDocument/2006/relationships/styles" Target="styles.xml"/><Relationship Id="rId7" Type="http://schemas.openxmlformats.org/officeDocument/2006/relationships/hyperlink" Target="https://webarchive.nationalarchives.gov.uk/ukgwa/20100407172811/https:/www.hm-treasury.gov.uk/stern_review_repor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ecd.org/cfe/regionaldevelopment/Ekins-2019-Circular-Economy-What-Why-How-Wher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onet.europa.eu/etcs/etc-wmge/products/sustainability-transition-and-the-european-green-deal-a-macro-dynamic-perspectiv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3D22-73BE-49F5-969E-C85F0A03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36</TotalTime>
  <Pages>2</Pages>
  <Words>658</Words>
  <Characters>3755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Gadda Walter</dc:creator>
  <cp:lastModifiedBy>Zoboli Roberto</cp:lastModifiedBy>
  <cp:revision>3</cp:revision>
  <cp:lastPrinted>2014-07-14T11:53:00Z</cp:lastPrinted>
  <dcterms:created xsi:type="dcterms:W3CDTF">2023-07-05T15:21:00Z</dcterms:created>
  <dcterms:modified xsi:type="dcterms:W3CDTF">2023-07-05T15:57:00Z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89da94fac687c5c8ffd243e1634616c50fd961578f2695c11364b05c57505dbd</vt:lpwstr>
  </property>
</Properties>
</file>