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E4F6" w14:textId="48C341E3" w:rsidR="00B4425E" w:rsidRPr="00AE128F" w:rsidRDefault="0088306D" w:rsidP="00DE7232">
      <w:pPr>
        <w:pStyle w:val="Titolo1"/>
        <w:ind w:left="0" w:firstLine="0"/>
        <w:rPr>
          <w:lang w:val="en-US"/>
        </w:rPr>
      </w:pPr>
      <w:bookmarkStart w:id="0" w:name="OLE_LINK1"/>
      <w:bookmarkStart w:id="1" w:name="OLE_LINK2"/>
      <w:r>
        <w:rPr>
          <w:lang w:val="en-US"/>
        </w:rPr>
        <w:t xml:space="preserve">Advanced </w:t>
      </w:r>
      <w:r w:rsidR="00B4425E" w:rsidRPr="00AE128F">
        <w:rPr>
          <w:lang w:val="en-US"/>
        </w:rPr>
        <w:t xml:space="preserve">Arabic </w:t>
      </w:r>
      <w:r w:rsidR="0035792B">
        <w:rPr>
          <w:lang w:val="en-US"/>
        </w:rPr>
        <w:t>l</w:t>
      </w:r>
      <w:r w:rsidR="00B4425E" w:rsidRPr="00AE128F">
        <w:rPr>
          <w:lang w:val="en-US"/>
        </w:rPr>
        <w:t xml:space="preserve">anguage and </w:t>
      </w:r>
      <w:r w:rsidR="0035792B">
        <w:rPr>
          <w:lang w:val="en-US"/>
        </w:rPr>
        <w:t>c</w:t>
      </w:r>
      <w:r w:rsidR="00B4425E" w:rsidRPr="00AE128F">
        <w:rPr>
          <w:lang w:val="en-US"/>
        </w:rPr>
        <w:t>ulture</w:t>
      </w:r>
    </w:p>
    <w:bookmarkEnd w:id="0"/>
    <w:bookmarkEnd w:id="1"/>
    <w:p w14:paraId="47A75F26" w14:textId="77777777" w:rsidR="00B4425E" w:rsidRPr="00AE128F" w:rsidRDefault="00B4425E" w:rsidP="00DE7232">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DE723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DE7232">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DE7232">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DE7232">
      <w:pPr>
        <w:pStyle w:val="Paragrafoelenco"/>
        <w:numPr>
          <w:ilvl w:val="0"/>
          <w:numId w:val="4"/>
        </w:numPr>
        <w:ind w:left="284" w:hanging="284"/>
        <w:rPr>
          <w:lang w:val="en"/>
        </w:rPr>
      </w:pPr>
      <w:r w:rsidRPr="00B4425E">
        <w:rPr>
          <w:lang w:val="en"/>
        </w:rPr>
        <w:t>communication</w:t>
      </w:r>
    </w:p>
    <w:p w14:paraId="2B273E33" w14:textId="79CABAA4" w:rsidR="005C5B4A" w:rsidRDefault="005C5B4A" w:rsidP="00DE7232">
      <w:pPr>
        <w:tabs>
          <w:tab w:val="clear" w:pos="284"/>
        </w:tabs>
        <w:rPr>
          <w:rFonts w:cs="Lucida Sans Unicode"/>
          <w:lang w:val="en-GB"/>
        </w:rPr>
      </w:pPr>
      <w:r w:rsidRPr="00230260">
        <w:rPr>
          <w:rFonts w:cs="Lucida Sans Unicode"/>
          <w:lang w:val="en-GB"/>
        </w:rPr>
        <w:t xml:space="preserve">The course </w:t>
      </w:r>
      <w:r>
        <w:rPr>
          <w:rFonts w:cs="Lucida Sans Unicode"/>
          <w:lang w:val="en-GB"/>
        </w:rPr>
        <w:t>aims at introducing</w:t>
      </w:r>
      <w:r w:rsidRPr="00230260">
        <w:rPr>
          <w:rFonts w:cs="Lucida Sans Unicode"/>
          <w:lang w:val="en-GB"/>
        </w:rPr>
        <w:t xml:space="preserve"> the major conceptual categories in I</w:t>
      </w:r>
      <w:r>
        <w:rPr>
          <w:rFonts w:cs="Lucida Sans Unicode"/>
          <w:lang w:val="en-GB"/>
        </w:rPr>
        <w:t>slamic political thought, focus</w:t>
      </w:r>
      <w:r w:rsidRPr="00230260">
        <w:rPr>
          <w:rFonts w:cs="Lucida Sans Unicode"/>
          <w:lang w:val="en-GB"/>
        </w:rPr>
        <w:t xml:space="preserve">ing </w:t>
      </w:r>
      <w:r w:rsidR="00385955" w:rsidRPr="00230260">
        <w:rPr>
          <w:rFonts w:cs="Lucida Sans Unicode"/>
          <w:lang w:val="en-GB"/>
        </w:rPr>
        <w:t>on</w:t>
      </w:r>
      <w:r w:rsidRPr="00230260">
        <w:rPr>
          <w:rFonts w:cs="Lucida Sans Unicode"/>
          <w:lang w:val="en-GB"/>
        </w:rPr>
        <w:t xml:space="preserve"> the political vocabulary, its semantic dimension and the symbolic associations it engenders. At the end of the course the student should be able to properly locate concepts such as ‘Islamic State’, ‘caliph’, ‘shariah’, ‘jihad’, ‘</w:t>
      </w:r>
      <w:proofErr w:type="spellStart"/>
      <w:r w:rsidRPr="00230260">
        <w:rPr>
          <w:rFonts w:cs="Lucida Sans Unicode"/>
          <w:lang w:val="en-GB"/>
        </w:rPr>
        <w:t>muwatana</w:t>
      </w:r>
      <w:proofErr w:type="spellEnd"/>
      <w:r w:rsidRPr="00230260">
        <w:rPr>
          <w:rFonts w:cs="Lucida Sans Unicode"/>
          <w:lang w:val="en-GB"/>
        </w:rPr>
        <w:t xml:space="preserve"> (citizenship)’ etc., essential to the understanding of contemporary Middle East. </w:t>
      </w:r>
      <w:r>
        <w:rPr>
          <w:rFonts w:cs="Lucida Sans Unicode"/>
          <w:lang w:val="en-GB"/>
        </w:rPr>
        <w:t xml:space="preserve"> </w:t>
      </w:r>
    </w:p>
    <w:p w14:paraId="0B3C30F7" w14:textId="32BAE295" w:rsidR="005C5B4A" w:rsidRDefault="005C5B4A" w:rsidP="00DE7232">
      <w:pPr>
        <w:tabs>
          <w:tab w:val="clear" w:pos="284"/>
        </w:tabs>
        <w:rPr>
          <w:lang w:val="en-US"/>
        </w:rPr>
      </w:pPr>
      <w:r w:rsidRPr="005C5B4A">
        <w:rPr>
          <w:lang w:val="en-US"/>
        </w:rPr>
        <w:t xml:space="preserve">The course </w:t>
      </w:r>
      <w:r>
        <w:rPr>
          <w:lang w:val="en-US"/>
        </w:rPr>
        <w:t>aims</w:t>
      </w:r>
      <w:r w:rsidRPr="005C5B4A">
        <w:rPr>
          <w:lang w:val="en-US"/>
        </w:rPr>
        <w:t xml:space="preserve"> </w:t>
      </w:r>
      <w:r>
        <w:rPr>
          <w:lang w:val="en-US"/>
        </w:rPr>
        <w:t xml:space="preserve">as well </w:t>
      </w:r>
      <w:r w:rsidRPr="005C5B4A">
        <w:rPr>
          <w:lang w:val="en-US"/>
        </w:rPr>
        <w:t>at the acquisition of the morphosyntactic aspects of the Arabic language at an intermediate level. At the end of the course the student must be able to understand written texts and audio texts on topics of common life, produce non-complex texts and interact in situations of daily life, both private and public.</w:t>
      </w:r>
    </w:p>
    <w:p w14:paraId="24C39C7D" w14:textId="77777777" w:rsidR="00B4425E" w:rsidRPr="00514034" w:rsidRDefault="00B4425E" w:rsidP="00DE7232">
      <w:pPr>
        <w:spacing w:before="240" w:after="120"/>
        <w:rPr>
          <w:b/>
          <w:i/>
          <w:sz w:val="18"/>
          <w:lang w:val="en-US"/>
        </w:rPr>
      </w:pPr>
      <w:r w:rsidRPr="00514034">
        <w:rPr>
          <w:b/>
          <w:i/>
          <w:sz w:val="18"/>
          <w:lang w:val="en-US"/>
        </w:rPr>
        <w:t>COURSE CONTENT</w:t>
      </w:r>
    </w:p>
    <w:p w14:paraId="7F573A47" w14:textId="3B8463CA" w:rsidR="00B4425E" w:rsidRDefault="00E963F4" w:rsidP="00DE7232">
      <w:pPr>
        <w:rPr>
          <w:lang w:val="en-US"/>
        </w:rPr>
      </w:pPr>
      <w:r>
        <w:rPr>
          <w:lang w:val="en-US"/>
        </w:rPr>
        <w:t>20</w:t>
      </w:r>
      <w:r w:rsidR="00B4425E">
        <w:rPr>
          <w:lang w:val="en-US"/>
        </w:rPr>
        <w:t xml:space="preserve"> hours of terminology: </w:t>
      </w:r>
      <w:r w:rsidR="00B4425E" w:rsidRPr="00AE128F">
        <w:rPr>
          <w:lang w:val="en-US"/>
        </w:rPr>
        <w:t xml:space="preserve">The course will analyze the key-terminology in </w:t>
      </w:r>
      <w:r w:rsidR="00256158">
        <w:rPr>
          <w:lang w:val="en-US"/>
        </w:rPr>
        <w:t>the political</w:t>
      </w:r>
      <w:r w:rsidR="00B4425E" w:rsidRPr="00AE128F">
        <w:rPr>
          <w:lang w:val="en-US"/>
        </w:rPr>
        <w:t xml:space="preserve"> field, dividing it according to (1) traditional terminology still in use today, (2) traditional terminology still in use today but with a different meaning and (3) new terminology.</w:t>
      </w:r>
    </w:p>
    <w:p w14:paraId="2BC85EAD" w14:textId="05FE7E7D" w:rsidR="00EA3D87" w:rsidRDefault="007847F9" w:rsidP="00DE7232">
      <w:pPr>
        <w:tabs>
          <w:tab w:val="clear" w:pos="284"/>
        </w:tabs>
        <w:spacing w:before="120"/>
        <w:rPr>
          <w:lang w:val="en-US"/>
        </w:rPr>
      </w:pPr>
      <w:r>
        <w:rPr>
          <w:lang w:val="en-US"/>
        </w:rPr>
        <w:t>20</w:t>
      </w:r>
      <w:r w:rsidR="00B4425E">
        <w:rPr>
          <w:lang w:val="en-US"/>
        </w:rPr>
        <w:t xml:space="preserve"> hours of Arabic language: </w:t>
      </w:r>
      <w:r w:rsidR="00EA3D87" w:rsidRPr="00EA3D87">
        <w:rPr>
          <w:lang w:val="en-US"/>
        </w:rPr>
        <w:t>Reading, comprehension, oral and written production of texts with an average complex structure on real-life topics</w:t>
      </w:r>
      <w:r w:rsidR="00EA3D87">
        <w:rPr>
          <w:lang w:val="en-US"/>
        </w:rPr>
        <w:t xml:space="preserve">; </w:t>
      </w:r>
      <w:r w:rsidR="00256158">
        <w:rPr>
          <w:lang w:val="en-US"/>
        </w:rPr>
        <w:t>development</w:t>
      </w:r>
      <w:r w:rsidR="00EA3D87" w:rsidRPr="00EA3D87">
        <w:rPr>
          <w:lang w:val="en-US"/>
        </w:rPr>
        <w:t xml:space="preserve"> of the two fundamental structures of the Arabic sentence, the </w:t>
      </w:r>
      <w:proofErr w:type="spellStart"/>
      <w:r w:rsidR="00EA3D87" w:rsidRPr="00EA3D87">
        <w:rPr>
          <w:i/>
          <w:iCs/>
          <w:lang w:val="en-US"/>
        </w:rPr>
        <w:t>jumla</w:t>
      </w:r>
      <w:proofErr w:type="spellEnd"/>
      <w:r w:rsidR="00EA3D87" w:rsidRPr="00EA3D87">
        <w:rPr>
          <w:i/>
          <w:iCs/>
          <w:lang w:val="en-US"/>
        </w:rPr>
        <w:t xml:space="preserve"> </w:t>
      </w:r>
      <w:proofErr w:type="spellStart"/>
      <w:r w:rsidR="00EA3D87" w:rsidRPr="00EA3D87">
        <w:rPr>
          <w:i/>
          <w:iCs/>
          <w:lang w:val="en-US"/>
        </w:rPr>
        <w:t>ismiyya</w:t>
      </w:r>
      <w:proofErr w:type="spellEnd"/>
      <w:r w:rsidR="00EA3D87" w:rsidRPr="00EA3D87">
        <w:rPr>
          <w:lang w:val="en-US"/>
        </w:rPr>
        <w:t xml:space="preserve"> and the </w:t>
      </w:r>
      <w:proofErr w:type="spellStart"/>
      <w:r w:rsidR="00EA3D87" w:rsidRPr="00EA3D87">
        <w:rPr>
          <w:i/>
          <w:iCs/>
          <w:lang w:val="en-US"/>
        </w:rPr>
        <w:t>jumla</w:t>
      </w:r>
      <w:proofErr w:type="spellEnd"/>
      <w:r w:rsidR="00EA3D87" w:rsidRPr="00EA3D87">
        <w:rPr>
          <w:i/>
          <w:iCs/>
          <w:lang w:val="en-US"/>
        </w:rPr>
        <w:t xml:space="preserve"> </w:t>
      </w:r>
      <w:proofErr w:type="spellStart"/>
      <w:r w:rsidR="00EA3D87" w:rsidRPr="00EA3D87">
        <w:rPr>
          <w:i/>
          <w:iCs/>
          <w:lang w:val="en-US"/>
        </w:rPr>
        <w:t>fiʿliyya</w:t>
      </w:r>
      <w:proofErr w:type="spellEnd"/>
      <w:r w:rsidR="00EA3D87">
        <w:rPr>
          <w:i/>
          <w:iCs/>
          <w:lang w:val="en-US"/>
        </w:rPr>
        <w:t xml:space="preserve">; </w:t>
      </w:r>
      <w:r w:rsidR="00EA3D87">
        <w:rPr>
          <w:lang w:val="en-US"/>
        </w:rPr>
        <w:t>f</w:t>
      </w:r>
      <w:r w:rsidR="00EA3D87" w:rsidRPr="00EA3D87">
        <w:rPr>
          <w:lang w:val="en-US"/>
        </w:rPr>
        <w:t>amiliarization with aspects of Arab culture that concern everyday life and the Islamic and Christian religions</w:t>
      </w:r>
      <w:r w:rsidR="00EA3D87">
        <w:rPr>
          <w:lang w:val="en-US"/>
        </w:rPr>
        <w:t>.</w:t>
      </w:r>
    </w:p>
    <w:p w14:paraId="1BAE905F" w14:textId="09C3090C" w:rsidR="00B4425E" w:rsidRPr="00EA3D87" w:rsidRDefault="00B4425E" w:rsidP="00DE7232">
      <w:pPr>
        <w:tabs>
          <w:tab w:val="clear" w:pos="284"/>
        </w:tabs>
        <w:spacing w:before="120"/>
        <w:rPr>
          <w:i/>
          <w:iCs/>
          <w:lang w:val="en-US"/>
        </w:rPr>
      </w:pPr>
      <w:r w:rsidRPr="00514034">
        <w:rPr>
          <w:b/>
          <w:i/>
          <w:sz w:val="18"/>
          <w:lang w:val="en-US"/>
        </w:rPr>
        <w:t>READING LIST</w:t>
      </w:r>
      <w:r w:rsidR="00F7548E">
        <w:rPr>
          <w:rStyle w:val="Rimandonotaapidipagina"/>
          <w:b/>
          <w:i/>
          <w:sz w:val="18"/>
          <w:lang w:val="en-US"/>
        </w:rPr>
        <w:footnoteReference w:id="1"/>
      </w:r>
    </w:p>
    <w:p w14:paraId="12E53EDE" w14:textId="77777777" w:rsidR="00B4425E" w:rsidRDefault="00B4425E" w:rsidP="00DE7232">
      <w:pPr>
        <w:pStyle w:val="Testo1"/>
        <w:spacing w:line="240" w:lineRule="exact"/>
        <w:ind w:firstLine="0"/>
        <w:rPr>
          <w:lang w:val="en-US"/>
        </w:rPr>
      </w:pPr>
      <w:r w:rsidRPr="00331680">
        <w:rPr>
          <w:lang w:val="en-US"/>
        </w:rPr>
        <w:t>Reference texts</w:t>
      </w:r>
      <w:r w:rsidRPr="00492407">
        <w:rPr>
          <w:lang w:val="en-US"/>
        </w:rPr>
        <w:t xml:space="preserve">: </w:t>
      </w:r>
    </w:p>
    <w:p w14:paraId="7FA98085" w14:textId="77777777" w:rsidR="00B4425E" w:rsidRPr="00B4425E" w:rsidRDefault="00B4425E" w:rsidP="00DE7232">
      <w:pPr>
        <w:pStyle w:val="Testo1"/>
        <w:spacing w:before="0" w:line="240" w:lineRule="exac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608240D2" w:rsidR="00B4425E" w:rsidRDefault="00B4425E" w:rsidP="00DE7232">
      <w:pPr>
        <w:pStyle w:val="Testo1"/>
        <w:spacing w:before="0" w:line="240" w:lineRule="exact"/>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r w:rsidR="00F7548E">
        <w:t xml:space="preserve"> </w:t>
      </w:r>
      <w:hyperlink r:id="rId8" w:history="1">
        <w:r w:rsidR="00F7548E" w:rsidRPr="00F7548E">
          <w:rPr>
            <w:rStyle w:val="Collegamentoipertestuale"/>
            <w:rFonts w:ascii="Times New Roman" w:hAnsi="Times New Roman"/>
            <w:i/>
            <w:szCs w:val="18"/>
          </w:rPr>
          <w:t>Acquista da VP</w:t>
        </w:r>
      </w:hyperlink>
    </w:p>
    <w:p w14:paraId="0ACF5FBA" w14:textId="0C69FB83" w:rsidR="00DF1581" w:rsidRDefault="00DF1581" w:rsidP="00DE7232">
      <w:pPr>
        <w:pStyle w:val="Testo1"/>
        <w:spacing w:before="0" w:line="240" w:lineRule="exact"/>
      </w:pPr>
      <w:r w:rsidRPr="0035792B">
        <w:rPr>
          <w:i/>
        </w:rPr>
        <w:lastRenderedPageBreak/>
        <w:t xml:space="preserve">Le parole in azione. Corso </w:t>
      </w:r>
      <w:r>
        <w:rPr>
          <w:i/>
        </w:rPr>
        <w:t>intermedio</w:t>
      </w:r>
      <w:r w:rsidRPr="0035792B">
        <w:rPr>
          <w:i/>
        </w:rPr>
        <w:t xml:space="preserve"> di arabo moderno standard – Volume I</w:t>
      </w:r>
      <w:r>
        <w:rPr>
          <w:i/>
        </w:rPr>
        <w:t>I</w:t>
      </w:r>
      <w:r w:rsidRPr="0035792B">
        <w:rPr>
          <w:i/>
        </w:rPr>
        <w:t>,</w:t>
      </w:r>
      <w:r w:rsidRPr="0035792B">
        <w:t xml:space="preserve"> Wael Farouq, Elisa Ferrero, </w:t>
      </w:r>
      <w:r>
        <w:t>Nuova edizione aggiornata</w:t>
      </w:r>
      <w:r w:rsidRPr="0035792B">
        <w:t xml:space="preserve">, Vita e Pensiero, Milano </w:t>
      </w:r>
      <w:r>
        <w:t>2018</w:t>
      </w:r>
      <w:r w:rsidRPr="0035792B">
        <w:t>.</w:t>
      </w:r>
      <w:r w:rsidR="00F7548E">
        <w:t xml:space="preserve"> </w:t>
      </w:r>
      <w:hyperlink r:id="rId9" w:history="1">
        <w:r w:rsidR="00F7548E" w:rsidRPr="00F7548E">
          <w:rPr>
            <w:rStyle w:val="Collegamentoipertestuale"/>
            <w:rFonts w:ascii="Times New Roman" w:hAnsi="Times New Roman"/>
            <w:i/>
            <w:szCs w:val="18"/>
          </w:rPr>
          <w:t>Acquista da VP</w:t>
        </w:r>
      </w:hyperlink>
    </w:p>
    <w:p w14:paraId="36B370A7" w14:textId="77777777" w:rsidR="00B4425E" w:rsidRPr="00492407" w:rsidRDefault="00B4425E" w:rsidP="00DE7232">
      <w:pPr>
        <w:pStyle w:val="Testo1"/>
        <w:spacing w:line="240" w:lineRule="exact"/>
        <w:ind w:firstLine="0"/>
        <w:rPr>
          <w:lang w:val="en-US"/>
        </w:rPr>
      </w:pPr>
      <w:r w:rsidRPr="00492407">
        <w:rPr>
          <w:lang w:val="en-US"/>
        </w:rPr>
        <w:t>Suggestions for further readings:</w:t>
      </w:r>
    </w:p>
    <w:p w14:paraId="1CF57875" w14:textId="77777777" w:rsidR="00B4425E" w:rsidRPr="00492407" w:rsidRDefault="00B4425E" w:rsidP="00DE7232">
      <w:pPr>
        <w:pStyle w:val="Testo1"/>
        <w:spacing w:before="0" w:line="240" w:lineRule="exact"/>
        <w:rPr>
          <w:lang w:val="en-US"/>
        </w:rPr>
      </w:pPr>
      <w:r w:rsidRPr="00492407">
        <w:rPr>
          <w:lang w:val="en-US"/>
        </w:rPr>
        <w:t>Encyclopedias and dictionaries:</w:t>
      </w:r>
    </w:p>
    <w:p w14:paraId="101AE66A" w14:textId="77777777" w:rsidR="00B4425E" w:rsidRPr="0030675F" w:rsidRDefault="00B4425E" w:rsidP="00DE7232">
      <w:pPr>
        <w:pStyle w:val="Testo1"/>
        <w:spacing w:before="0" w:line="240" w:lineRule="exact"/>
        <w:rPr>
          <w:lang w:val="en-US"/>
        </w:rPr>
      </w:pPr>
      <w:r w:rsidRPr="0030675F">
        <w:rPr>
          <w:i/>
          <w:lang w:val="en-US"/>
        </w:rPr>
        <w:t>Encyclopedia of Islam</w:t>
      </w:r>
      <w:r w:rsidRPr="0030675F">
        <w:rPr>
          <w:lang w:val="en-US"/>
        </w:rPr>
        <w:t>, Leiden, E.J. Brill.</w:t>
      </w:r>
    </w:p>
    <w:p w14:paraId="7306360A" w14:textId="77777777" w:rsidR="00B4425E" w:rsidRDefault="00B4425E" w:rsidP="00DE7232">
      <w:pPr>
        <w:pStyle w:val="Testo1"/>
        <w:spacing w:before="0" w:line="240" w:lineRule="exact"/>
        <w:rPr>
          <w:lang w:val="en-US"/>
        </w:rPr>
      </w:pPr>
      <w:r w:rsidRPr="0030675F">
        <w:rPr>
          <w:i/>
          <w:lang w:val="en-US"/>
        </w:rPr>
        <w:t>The Oxford Dictionary of Islam</w:t>
      </w:r>
      <w:r w:rsidRPr="0030675F">
        <w:rPr>
          <w:lang w:val="en-US"/>
        </w:rPr>
        <w:t>, John L. Esposito, Oxford University Press, 2004.</w:t>
      </w:r>
    </w:p>
    <w:p w14:paraId="7EA43BDE" w14:textId="70474071" w:rsidR="00385955" w:rsidRPr="00385955" w:rsidRDefault="00385955" w:rsidP="00DE7232">
      <w:pPr>
        <w:pStyle w:val="Testo1"/>
        <w:spacing w:before="0" w:line="240" w:lineRule="exact"/>
        <w:rPr>
          <w:lang w:val="en-US"/>
        </w:rPr>
      </w:pPr>
      <w:r w:rsidRPr="00385955">
        <w:rPr>
          <w:rFonts w:cstheme="minorHAnsi"/>
          <w:i/>
          <w:color w:val="000000" w:themeColor="text1"/>
          <w:lang w:val="en-US"/>
        </w:rPr>
        <w:t>The Princeton Encyclopedia of Islamic Political Thought</w:t>
      </w:r>
      <w:r w:rsidRPr="00385955">
        <w:rPr>
          <w:rFonts w:cstheme="minorHAnsi"/>
          <w:color w:val="000000" w:themeColor="text1"/>
          <w:lang w:val="en-US"/>
        </w:rPr>
        <w:t>, Princeton University Press,</w:t>
      </w:r>
      <w:r>
        <w:rPr>
          <w:rFonts w:cstheme="minorHAnsi"/>
          <w:color w:val="000000" w:themeColor="text1"/>
          <w:lang w:val="en-US"/>
        </w:rPr>
        <w:t xml:space="preserve"> </w:t>
      </w:r>
      <w:r w:rsidRPr="00385955">
        <w:rPr>
          <w:rFonts w:cstheme="minorHAnsi"/>
          <w:color w:val="000000" w:themeColor="text1"/>
          <w:lang w:val="en-US"/>
        </w:rPr>
        <w:t>Princeton, 2012</w:t>
      </w:r>
    </w:p>
    <w:p w14:paraId="50540D0D" w14:textId="77777777" w:rsidR="00B4425E" w:rsidRPr="00492407" w:rsidRDefault="00B4425E" w:rsidP="00DE7232">
      <w:pPr>
        <w:pStyle w:val="Testo1"/>
        <w:spacing w:line="240" w:lineRule="exact"/>
        <w:ind w:firstLine="0"/>
        <w:rPr>
          <w:lang w:val="en-US"/>
        </w:rPr>
      </w:pPr>
      <w:r w:rsidRPr="00492407">
        <w:rPr>
          <w:lang w:val="en-US"/>
        </w:rPr>
        <w:t>Classical sources of Arab Islamic culture:</w:t>
      </w:r>
    </w:p>
    <w:p w14:paraId="43858975" w14:textId="77777777" w:rsidR="00B4425E" w:rsidRPr="0030675F" w:rsidRDefault="00B4425E" w:rsidP="00DE7232">
      <w:pPr>
        <w:pStyle w:val="Testo1"/>
        <w:spacing w:before="0" w:line="240" w:lineRule="exact"/>
        <w:rPr>
          <w:lang w:val="en-US"/>
        </w:rPr>
      </w:pPr>
      <w:r w:rsidRPr="0030675F">
        <w:rPr>
          <w:lang w:val="en-US"/>
        </w:rPr>
        <w:t>The Quran, for example:</w:t>
      </w:r>
    </w:p>
    <w:p w14:paraId="74F73042" w14:textId="77777777" w:rsidR="00B4425E" w:rsidRPr="0030675F" w:rsidRDefault="00B4425E" w:rsidP="00DE7232">
      <w:pPr>
        <w:pStyle w:val="Testo1"/>
        <w:spacing w:before="0" w:line="240" w:lineRule="exact"/>
        <w:rPr>
          <w:lang w:val="en-US"/>
        </w:rPr>
      </w:pPr>
      <w:r w:rsidRPr="0030675F">
        <w:rPr>
          <w:i/>
          <w:lang w:val="en-US"/>
        </w:rPr>
        <w:t>The Holy Qur’an</w:t>
      </w:r>
      <w:r w:rsidRPr="0030675F">
        <w:rPr>
          <w:lang w:val="en-US"/>
        </w:rPr>
        <w:t xml:space="preserve">, Abdullah Yusuf ‘Ali, Kitab Bhavan, 2001. </w:t>
      </w:r>
    </w:p>
    <w:p w14:paraId="4A033D40" w14:textId="0A099048" w:rsidR="00B4425E" w:rsidRPr="0035792B" w:rsidRDefault="00B4425E" w:rsidP="00DE7232">
      <w:pPr>
        <w:pStyle w:val="Testo1"/>
        <w:spacing w:before="0" w:line="240" w:lineRule="exact"/>
      </w:pPr>
      <w:r w:rsidRPr="0035792B">
        <w:rPr>
          <w:i/>
        </w:rPr>
        <w:t>Il Corano</w:t>
      </w:r>
      <w:r w:rsidRPr="0035792B">
        <w:t>, A</w:t>
      </w:r>
      <w:r w:rsidR="0035792B">
        <w:t>.</w:t>
      </w:r>
      <w:r w:rsidRPr="0035792B">
        <w:t xml:space="preserve"> Bausani, BUR, 2007. </w:t>
      </w:r>
      <w:r w:rsidR="00F7548E">
        <w:t xml:space="preserve"> </w:t>
      </w:r>
      <w:hyperlink r:id="rId10" w:history="1">
        <w:r w:rsidR="00F7548E" w:rsidRPr="00F7548E">
          <w:rPr>
            <w:rStyle w:val="Collegamentoipertestuale"/>
            <w:rFonts w:ascii="Times New Roman" w:hAnsi="Times New Roman"/>
            <w:i/>
            <w:szCs w:val="18"/>
          </w:rPr>
          <w:t>Acquista da VP</w:t>
        </w:r>
      </w:hyperlink>
    </w:p>
    <w:p w14:paraId="05D63B76" w14:textId="77777777" w:rsidR="00B4425E" w:rsidRPr="00492407" w:rsidRDefault="00B4425E" w:rsidP="00DE7232">
      <w:pPr>
        <w:pStyle w:val="Testo1"/>
        <w:spacing w:line="240" w:lineRule="exact"/>
        <w:ind w:firstLine="0"/>
        <w:rPr>
          <w:lang w:val="en-US"/>
        </w:rPr>
      </w:pPr>
      <w:r w:rsidRPr="00492407">
        <w:rPr>
          <w:lang w:val="en-US"/>
        </w:rPr>
        <w:t>Modern sources of Arab Islamic culture:</w:t>
      </w:r>
    </w:p>
    <w:p w14:paraId="06B3E44E" w14:textId="77777777" w:rsidR="00B4425E" w:rsidRPr="0030675F" w:rsidRDefault="00B4425E" w:rsidP="00DE7232">
      <w:pPr>
        <w:pStyle w:val="Testo1"/>
        <w:spacing w:before="0" w:line="240" w:lineRule="exact"/>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DE7232">
      <w:pPr>
        <w:pStyle w:val="Testo1"/>
        <w:spacing w:before="0" w:line="240" w:lineRule="exact"/>
      </w:pPr>
      <w:r w:rsidRPr="0035792B">
        <w:rPr>
          <w:i/>
        </w:rPr>
        <w:t>La religione del Corano</w:t>
      </w:r>
      <w:r w:rsidRPr="0035792B">
        <w:t>, Fazlur Rahman, Net, 2003.</w:t>
      </w:r>
    </w:p>
    <w:p w14:paraId="3ED0894E" w14:textId="77777777" w:rsidR="00B4425E" w:rsidRPr="0030675F" w:rsidRDefault="00B4425E" w:rsidP="00DE7232">
      <w:pPr>
        <w:pStyle w:val="Testo1"/>
        <w:spacing w:before="0" w:line="240" w:lineRule="exact"/>
        <w:rPr>
          <w:lang w:val="en-US"/>
        </w:rPr>
      </w:pPr>
      <w:r w:rsidRPr="0030675F">
        <w:rPr>
          <w:i/>
          <w:lang w:val="en-US"/>
        </w:rPr>
        <w:t>Critique of religious discourse</w:t>
      </w:r>
      <w:r w:rsidRPr="0030675F">
        <w:rPr>
          <w:lang w:val="en-US"/>
        </w:rPr>
        <w:t>, Nasr Hamid Abu Zayd, Yale University, to be published 2018.</w:t>
      </w:r>
    </w:p>
    <w:p w14:paraId="6130559E" w14:textId="306A2685" w:rsidR="00B4425E" w:rsidRPr="0035792B" w:rsidRDefault="00B4425E" w:rsidP="00DE7232">
      <w:pPr>
        <w:pStyle w:val="Testo1"/>
        <w:spacing w:before="0" w:line="240" w:lineRule="exact"/>
      </w:pPr>
      <w:r w:rsidRPr="0035792B">
        <w:rPr>
          <w:i/>
        </w:rPr>
        <w:t xml:space="preserve">Islam e storia. Critica del discorso religioso, </w:t>
      </w:r>
      <w:r w:rsidRPr="0035792B">
        <w:t>Nasr Hamid Abu Zayd, Bollati Boringhieri, 2016.</w:t>
      </w:r>
      <w:r w:rsidR="00F7548E">
        <w:t xml:space="preserve"> </w:t>
      </w:r>
      <w:hyperlink r:id="rId11" w:history="1">
        <w:r w:rsidR="00F7548E" w:rsidRPr="00F7548E">
          <w:rPr>
            <w:rStyle w:val="Collegamentoipertestuale"/>
            <w:rFonts w:ascii="Times New Roman" w:hAnsi="Times New Roman"/>
            <w:i/>
            <w:szCs w:val="18"/>
          </w:rPr>
          <w:t>Acquista da VP</w:t>
        </w:r>
      </w:hyperlink>
    </w:p>
    <w:p w14:paraId="165177E6" w14:textId="77777777" w:rsidR="00B4425E" w:rsidRPr="0030675F" w:rsidRDefault="00B4425E" w:rsidP="00DE7232">
      <w:pPr>
        <w:pStyle w:val="Testo1"/>
        <w:spacing w:before="0" w:line="240" w:lineRule="exact"/>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256158" w:rsidRDefault="00B4425E" w:rsidP="00DE7232">
      <w:pPr>
        <w:pStyle w:val="Testo1"/>
        <w:spacing w:line="240" w:lineRule="exact"/>
        <w:ind w:firstLine="0"/>
        <w:rPr>
          <w:lang w:val="en-US"/>
        </w:rPr>
      </w:pPr>
      <w:r w:rsidRPr="00256158">
        <w:rPr>
          <w:lang w:val="en-US"/>
        </w:rPr>
        <w:t>Articles and essays:</w:t>
      </w:r>
    </w:p>
    <w:p w14:paraId="4DBF2088" w14:textId="384FE057" w:rsidR="00385955" w:rsidRDefault="00385955" w:rsidP="00DE7232">
      <w:pPr>
        <w:pStyle w:val="Testo1"/>
        <w:spacing w:before="0" w:line="240" w:lineRule="exact"/>
        <w:rPr>
          <w:rFonts w:cstheme="minorHAnsi"/>
          <w:color w:val="000000" w:themeColor="text1"/>
          <w:lang w:val="en-US"/>
        </w:rPr>
      </w:pPr>
      <w:r w:rsidRPr="00385955">
        <w:rPr>
          <w:rFonts w:cstheme="minorHAnsi"/>
          <w:color w:val="000000" w:themeColor="text1"/>
          <w:lang w:val="en-US"/>
        </w:rPr>
        <w:t xml:space="preserve">Crone, Patricia, “The First-Century Concept of «Hijra»”, </w:t>
      </w:r>
      <w:r w:rsidRPr="00385955">
        <w:rPr>
          <w:rFonts w:cstheme="minorHAnsi"/>
          <w:i/>
          <w:iCs/>
          <w:color w:val="000000" w:themeColor="text1"/>
          <w:lang w:val="en-US"/>
        </w:rPr>
        <w:t>Arabica</w:t>
      </w:r>
      <w:r w:rsidRPr="00385955">
        <w:rPr>
          <w:rFonts w:cstheme="minorHAnsi"/>
          <w:color w:val="000000" w:themeColor="text1"/>
          <w:lang w:val="en-US"/>
        </w:rPr>
        <w:t xml:space="preserve"> 41, no. 3 (November 1994): 352-387; </w:t>
      </w:r>
    </w:p>
    <w:p w14:paraId="1B1A54E8" w14:textId="77777777" w:rsidR="00385955" w:rsidRDefault="00385955" w:rsidP="00DE7232">
      <w:pPr>
        <w:pStyle w:val="Testo1"/>
        <w:spacing w:before="0" w:line="240" w:lineRule="exact"/>
        <w:rPr>
          <w:rFonts w:cstheme="minorHAnsi"/>
          <w:color w:val="000000" w:themeColor="text1"/>
          <w:shd w:val="clear" w:color="auto" w:fill="FFFFFF"/>
          <w:lang w:val="en-US"/>
        </w:rPr>
      </w:pPr>
      <w:r w:rsidRPr="00385955">
        <w:rPr>
          <w:rFonts w:cstheme="minorHAnsi"/>
          <w:color w:val="000000" w:themeColor="text1"/>
          <w:shd w:val="clear" w:color="auto" w:fill="FFFFFF"/>
          <w:lang w:val="en-US"/>
        </w:rPr>
        <w:t xml:space="preserve">Crone, </w:t>
      </w:r>
      <w:r w:rsidRPr="00385955">
        <w:rPr>
          <w:rFonts w:cstheme="minorHAnsi"/>
          <w:color w:val="000000" w:themeColor="text1"/>
          <w:lang w:val="en-US"/>
        </w:rPr>
        <w:t>Patricia</w:t>
      </w:r>
      <w:r w:rsidRPr="00385955">
        <w:rPr>
          <w:rFonts w:cstheme="minorHAnsi"/>
          <w:color w:val="000000" w:themeColor="text1"/>
          <w:shd w:val="clear" w:color="auto" w:fill="FFFFFF"/>
          <w:lang w:val="en-US"/>
        </w:rPr>
        <w:t xml:space="preserve"> and Hinds, Martin, </w:t>
      </w:r>
      <w:r w:rsidRPr="00385955">
        <w:rPr>
          <w:rFonts w:cstheme="minorHAnsi"/>
          <w:i/>
          <w:iCs/>
          <w:color w:val="000000" w:themeColor="text1"/>
          <w:shd w:val="clear" w:color="auto" w:fill="FFFFFF"/>
          <w:lang w:val="en-US"/>
        </w:rPr>
        <w:t>God</w:t>
      </w:r>
      <w:r w:rsidRPr="00D7322E">
        <w:rPr>
          <w:rFonts w:cstheme="minorHAnsi"/>
          <w:i/>
          <w:iCs/>
          <w:color w:val="000000" w:themeColor="text1"/>
          <w:shd w:val="clear" w:color="auto" w:fill="FFFFFF"/>
        </w:rPr>
        <w:fldChar w:fldCharType="begin"/>
      </w:r>
      <w:r w:rsidRPr="00385955">
        <w:rPr>
          <w:rFonts w:cstheme="minorHAnsi"/>
          <w:color w:val="000000" w:themeColor="text1"/>
          <w:lang w:val="en-US"/>
        </w:rPr>
        <w:instrText xml:space="preserve"> XE "God" </w:instrText>
      </w:r>
      <w:r w:rsidRPr="00D7322E">
        <w:rPr>
          <w:rFonts w:cstheme="minorHAnsi"/>
          <w:i/>
          <w:iCs/>
          <w:color w:val="000000" w:themeColor="text1"/>
          <w:shd w:val="clear" w:color="auto" w:fill="FFFFFF"/>
        </w:rPr>
        <w:fldChar w:fldCharType="end"/>
      </w:r>
      <w:r w:rsidRPr="00385955">
        <w:rPr>
          <w:rFonts w:cstheme="minorHAnsi"/>
          <w:i/>
          <w:iCs/>
          <w:color w:val="000000" w:themeColor="text1"/>
          <w:shd w:val="clear" w:color="auto" w:fill="FFFFFF"/>
          <w:lang w:val="en-US"/>
        </w:rPr>
        <w:t>'s caliph: religious</w:t>
      </w:r>
      <w:r w:rsidRPr="00D7322E">
        <w:rPr>
          <w:rFonts w:cstheme="minorHAnsi"/>
          <w:i/>
          <w:iCs/>
          <w:color w:val="000000" w:themeColor="text1"/>
          <w:shd w:val="clear" w:color="auto" w:fill="FFFFFF"/>
        </w:rPr>
        <w:fldChar w:fldCharType="begin"/>
      </w:r>
      <w:r w:rsidRPr="00385955">
        <w:rPr>
          <w:rFonts w:cstheme="minorHAnsi"/>
          <w:color w:val="000000" w:themeColor="text1"/>
          <w:lang w:val="en-US"/>
        </w:rPr>
        <w:instrText xml:space="preserve"> XE "religious" </w:instrText>
      </w:r>
      <w:r w:rsidRPr="00D7322E">
        <w:rPr>
          <w:rFonts w:cstheme="minorHAnsi"/>
          <w:i/>
          <w:iCs/>
          <w:color w:val="000000" w:themeColor="text1"/>
          <w:shd w:val="clear" w:color="auto" w:fill="FFFFFF"/>
        </w:rPr>
        <w:fldChar w:fldCharType="end"/>
      </w:r>
      <w:r w:rsidRPr="00385955">
        <w:rPr>
          <w:rFonts w:cstheme="minorHAnsi"/>
          <w:i/>
          <w:iCs/>
          <w:color w:val="000000" w:themeColor="text1"/>
          <w:shd w:val="clear" w:color="auto" w:fill="FFFFFF"/>
          <w:lang w:val="en-US"/>
        </w:rPr>
        <w:t xml:space="preserve"> authority in the first centuries of Islam</w:t>
      </w:r>
      <w:r w:rsidRPr="00D7322E">
        <w:rPr>
          <w:rFonts w:cstheme="minorHAnsi"/>
          <w:i/>
          <w:iCs/>
          <w:color w:val="000000" w:themeColor="text1"/>
          <w:shd w:val="clear" w:color="auto" w:fill="FFFFFF"/>
        </w:rPr>
        <w:fldChar w:fldCharType="begin"/>
      </w:r>
      <w:r w:rsidRPr="00385955">
        <w:rPr>
          <w:rFonts w:cstheme="minorHAnsi"/>
          <w:color w:val="000000" w:themeColor="text1"/>
          <w:lang w:val="en-US"/>
        </w:rPr>
        <w:instrText xml:space="preserve"> XE "Islam" </w:instrText>
      </w:r>
      <w:r w:rsidRPr="00D7322E">
        <w:rPr>
          <w:rFonts w:cstheme="minorHAnsi"/>
          <w:i/>
          <w:iCs/>
          <w:color w:val="000000" w:themeColor="text1"/>
          <w:shd w:val="clear" w:color="auto" w:fill="FFFFFF"/>
        </w:rPr>
        <w:fldChar w:fldCharType="end"/>
      </w:r>
      <w:r w:rsidRPr="00385955">
        <w:rPr>
          <w:rFonts w:cstheme="minorHAnsi"/>
          <w:color w:val="000000" w:themeColor="text1"/>
          <w:shd w:val="clear" w:color="auto" w:fill="FFFFFF"/>
          <w:lang w:val="en-US"/>
        </w:rPr>
        <w:t xml:space="preserve"> (Cambridge: Cambridge University Press, 2003); </w:t>
      </w:r>
    </w:p>
    <w:p w14:paraId="6CD8BB17" w14:textId="77777777" w:rsidR="00385955" w:rsidRDefault="00385955" w:rsidP="00DE7232">
      <w:pPr>
        <w:pStyle w:val="Testo1"/>
        <w:spacing w:before="0" w:line="240" w:lineRule="exact"/>
        <w:rPr>
          <w:rFonts w:cstheme="minorHAnsi"/>
          <w:color w:val="000000" w:themeColor="text1"/>
          <w:lang w:val="en-US"/>
        </w:rPr>
      </w:pPr>
      <w:r w:rsidRPr="00385955">
        <w:rPr>
          <w:rFonts w:cstheme="minorHAnsi"/>
          <w:color w:val="000000" w:themeColor="text1"/>
          <w:lang w:val="en-US"/>
        </w:rPr>
        <w:t>Daum, Werner, “Tithes for the God</w:t>
      </w:r>
      <w:r w:rsidRPr="00D7322E">
        <w:rPr>
          <w:rFonts w:cstheme="minorHAnsi"/>
          <w:color w:val="000000" w:themeColor="text1"/>
        </w:rPr>
        <w:fldChar w:fldCharType="begin"/>
      </w:r>
      <w:r w:rsidRPr="00385955">
        <w:rPr>
          <w:rFonts w:cstheme="minorHAnsi"/>
          <w:color w:val="000000" w:themeColor="text1"/>
          <w:lang w:val="en-US"/>
        </w:rPr>
        <w:instrText xml:space="preserve"> XE "God" </w:instrText>
      </w:r>
      <w:r w:rsidRPr="00D7322E">
        <w:rPr>
          <w:rFonts w:cstheme="minorHAnsi"/>
          <w:color w:val="000000" w:themeColor="text1"/>
        </w:rPr>
        <w:fldChar w:fldCharType="end"/>
      </w:r>
      <w:r w:rsidRPr="00385955">
        <w:rPr>
          <w:rFonts w:cstheme="minorHAnsi"/>
          <w:color w:val="000000" w:themeColor="text1"/>
          <w:lang w:val="en-US"/>
        </w:rPr>
        <w:t xml:space="preserve"> and the Origins of the Cult at Mecca</w:t>
      </w:r>
      <w:r w:rsidRPr="00D7322E">
        <w:rPr>
          <w:rFonts w:cstheme="minorHAnsi"/>
          <w:color w:val="000000" w:themeColor="text1"/>
        </w:rPr>
        <w:fldChar w:fldCharType="begin"/>
      </w:r>
      <w:r w:rsidRPr="00385955">
        <w:rPr>
          <w:rFonts w:cstheme="minorHAnsi"/>
          <w:color w:val="000000" w:themeColor="text1"/>
          <w:lang w:val="en-US"/>
        </w:rPr>
        <w:instrText xml:space="preserve"> XE "Mecca" </w:instrText>
      </w:r>
      <w:r w:rsidRPr="00D7322E">
        <w:rPr>
          <w:rFonts w:cstheme="minorHAnsi"/>
          <w:color w:val="000000" w:themeColor="text1"/>
        </w:rPr>
        <w:fldChar w:fldCharType="end"/>
      </w:r>
      <w:r w:rsidRPr="00385955">
        <w:rPr>
          <w:rFonts w:cstheme="minorHAnsi"/>
          <w:color w:val="000000" w:themeColor="text1"/>
          <w:lang w:val="en-US"/>
        </w:rPr>
        <w:t xml:space="preserve">: Continuity of Religious Practice in Arabia from the Pre-Islamic Period to the Present Day”, </w:t>
      </w:r>
      <w:r w:rsidRPr="00385955">
        <w:rPr>
          <w:rFonts w:cstheme="minorHAnsi"/>
          <w:i/>
          <w:iCs/>
          <w:color w:val="000000" w:themeColor="text1"/>
          <w:lang w:val="en-US"/>
        </w:rPr>
        <w:t>Anthropos</w:t>
      </w:r>
      <w:r w:rsidRPr="00385955">
        <w:rPr>
          <w:rFonts w:cstheme="minorHAnsi"/>
          <w:color w:val="000000" w:themeColor="text1"/>
          <w:lang w:val="en-US"/>
        </w:rPr>
        <w:t xml:space="preserve"> 112, no. 2 (2017); </w:t>
      </w:r>
    </w:p>
    <w:p w14:paraId="42818618" w14:textId="77777777" w:rsidR="00385955" w:rsidRDefault="00385955" w:rsidP="00DE7232">
      <w:pPr>
        <w:pStyle w:val="Testo1"/>
        <w:spacing w:before="0" w:line="240" w:lineRule="exact"/>
        <w:rPr>
          <w:rFonts w:cstheme="minorHAnsi"/>
          <w:color w:val="000000" w:themeColor="text1"/>
          <w:lang w:val="en-US"/>
        </w:rPr>
      </w:pPr>
      <w:r w:rsidRPr="00385955">
        <w:rPr>
          <w:rFonts w:cstheme="minorHAnsi"/>
          <w:color w:val="000000" w:themeColor="text1"/>
          <w:lang w:val="en-US"/>
        </w:rPr>
        <w:t xml:space="preserve">Hallaq, Wael B., </w:t>
      </w:r>
      <w:r w:rsidRPr="00385955">
        <w:rPr>
          <w:rFonts w:cstheme="minorHAnsi"/>
          <w:i/>
          <w:iCs/>
          <w:color w:val="000000" w:themeColor="text1"/>
          <w:lang w:val="en-US"/>
        </w:rPr>
        <w:t>Shari</w:t>
      </w:r>
      <w:r w:rsidRPr="00385955">
        <w:rPr>
          <w:rFonts w:ascii="Times New Roman" w:hAnsi="Times New Roman"/>
          <w:i/>
          <w:iCs/>
          <w:color w:val="000000" w:themeColor="text1"/>
          <w:lang w:val="en-US"/>
        </w:rPr>
        <w:t>ʻ</w:t>
      </w:r>
      <w:r w:rsidRPr="00385955">
        <w:rPr>
          <w:rFonts w:cstheme="minorHAnsi"/>
          <w:i/>
          <w:iCs/>
          <w:color w:val="000000" w:themeColor="text1"/>
          <w:lang w:val="en-US"/>
        </w:rPr>
        <w:t>a: theory, practice, transformations</w:t>
      </w:r>
      <w:r w:rsidRPr="00385955">
        <w:rPr>
          <w:rFonts w:cstheme="minorHAnsi"/>
          <w:color w:val="000000" w:themeColor="text1"/>
          <w:lang w:val="en-US"/>
        </w:rPr>
        <w:t xml:space="preserve"> (Cambridge/New York: Cambridge University Press, 2009); </w:t>
      </w:r>
    </w:p>
    <w:p w14:paraId="2A0302D0" w14:textId="77777777" w:rsidR="00385955" w:rsidRDefault="00385955" w:rsidP="00DE7232">
      <w:pPr>
        <w:pStyle w:val="Testo1"/>
        <w:spacing w:before="0" w:line="240" w:lineRule="exact"/>
        <w:rPr>
          <w:rFonts w:cstheme="minorHAnsi"/>
          <w:color w:val="000000" w:themeColor="text1"/>
          <w:lang w:val="en-US"/>
        </w:rPr>
      </w:pPr>
      <w:r w:rsidRPr="00385955">
        <w:rPr>
          <w:rFonts w:cstheme="minorHAnsi"/>
          <w:color w:val="000000" w:themeColor="text1"/>
          <w:lang w:val="en-US"/>
        </w:rPr>
        <w:t xml:space="preserve">Madelung, Wilferd, </w:t>
      </w:r>
      <w:r w:rsidRPr="00385955">
        <w:rPr>
          <w:rFonts w:cstheme="minorHAnsi"/>
          <w:i/>
          <w:iCs/>
          <w:color w:val="000000" w:themeColor="text1"/>
          <w:lang w:val="en-US"/>
        </w:rPr>
        <w:t>The Succession to Muhammad: A Study of the Early Caliphate</w:t>
      </w:r>
      <w:r w:rsidRPr="00D7322E">
        <w:rPr>
          <w:rFonts w:cstheme="minorHAnsi"/>
          <w:i/>
          <w:iCs/>
          <w:color w:val="000000" w:themeColor="text1"/>
        </w:rPr>
        <w:fldChar w:fldCharType="begin"/>
      </w:r>
      <w:r w:rsidRPr="00385955">
        <w:rPr>
          <w:rFonts w:cstheme="minorHAnsi"/>
          <w:color w:val="000000" w:themeColor="text1"/>
          <w:lang w:val="en-US"/>
        </w:rPr>
        <w:instrText xml:space="preserve"> XE "Caliphate" </w:instrText>
      </w:r>
      <w:r w:rsidRPr="00D7322E">
        <w:rPr>
          <w:rFonts w:cstheme="minorHAnsi"/>
          <w:i/>
          <w:iCs/>
          <w:color w:val="000000" w:themeColor="text1"/>
        </w:rPr>
        <w:fldChar w:fldCharType="end"/>
      </w:r>
      <w:r w:rsidRPr="00385955">
        <w:rPr>
          <w:rFonts w:cstheme="minorHAnsi"/>
          <w:color w:val="000000" w:themeColor="text1"/>
          <w:lang w:val="en-US"/>
        </w:rPr>
        <w:t xml:space="preserve"> (Cambridge: Cambridge University Press, 1996); </w:t>
      </w:r>
    </w:p>
    <w:p w14:paraId="2C601060" w14:textId="343D2D63" w:rsidR="00B4425E" w:rsidRPr="00385955" w:rsidRDefault="00385955" w:rsidP="00DE7232">
      <w:pPr>
        <w:pStyle w:val="Testo1"/>
        <w:spacing w:before="0" w:line="240" w:lineRule="exact"/>
        <w:rPr>
          <w:lang w:val="en-US"/>
        </w:rPr>
      </w:pPr>
      <w:r w:rsidRPr="00385955">
        <w:rPr>
          <w:rFonts w:cstheme="minorHAnsi"/>
          <w:color w:val="000000" w:themeColor="text1"/>
          <w:lang w:val="en-US"/>
        </w:rPr>
        <w:t>P</w:t>
      </w:r>
      <w:r w:rsidRPr="00385955">
        <w:rPr>
          <w:rFonts w:cstheme="minorHAnsi"/>
          <w:iCs/>
          <w:color w:val="000000" w:themeColor="text1"/>
          <w:lang w:val="en-US"/>
        </w:rPr>
        <w:t xml:space="preserve">iscatori James, ed., “Special Issue: Conceptualising the Umma”, in </w:t>
      </w:r>
      <w:r w:rsidRPr="00385955">
        <w:rPr>
          <w:rFonts w:cstheme="minorHAnsi"/>
          <w:i/>
          <w:color w:val="000000" w:themeColor="text1"/>
          <w:lang w:val="en-US"/>
        </w:rPr>
        <w:t>The Muslim</w:t>
      </w:r>
      <w:r w:rsidRPr="00D7322E">
        <w:rPr>
          <w:rFonts w:cstheme="minorHAnsi"/>
          <w:i/>
          <w:color w:val="000000" w:themeColor="text1"/>
        </w:rPr>
        <w:fldChar w:fldCharType="begin"/>
      </w:r>
      <w:r w:rsidRPr="00385955">
        <w:rPr>
          <w:rFonts w:cstheme="minorHAnsi"/>
          <w:color w:val="000000" w:themeColor="text1"/>
          <w:lang w:val="en-US"/>
        </w:rPr>
        <w:instrText xml:space="preserve"> XE "</w:instrText>
      </w:r>
      <w:r w:rsidRPr="00385955">
        <w:rPr>
          <w:rFonts w:eastAsia="Calibri" w:cstheme="minorHAnsi"/>
          <w:color w:val="000000" w:themeColor="text1"/>
          <w:lang w:val="en-US" w:bidi="ar-EG"/>
        </w:rPr>
        <w:instrText>Muslim</w:instrText>
      </w:r>
      <w:r w:rsidRPr="00385955">
        <w:rPr>
          <w:rFonts w:cstheme="minorHAnsi"/>
          <w:color w:val="000000" w:themeColor="text1"/>
          <w:lang w:val="en-US"/>
        </w:rPr>
        <w:instrText xml:space="preserve">" </w:instrText>
      </w:r>
      <w:r w:rsidRPr="00D7322E">
        <w:rPr>
          <w:rFonts w:cstheme="minorHAnsi"/>
          <w:i/>
          <w:color w:val="000000" w:themeColor="text1"/>
        </w:rPr>
        <w:fldChar w:fldCharType="end"/>
      </w:r>
      <w:r w:rsidRPr="00385955">
        <w:rPr>
          <w:rFonts w:cstheme="minorHAnsi"/>
          <w:i/>
          <w:color w:val="000000" w:themeColor="text1"/>
          <w:lang w:val="en-US"/>
        </w:rPr>
        <w:t xml:space="preserve"> World</w:t>
      </w:r>
      <w:r w:rsidRPr="00385955">
        <w:rPr>
          <w:rFonts w:cstheme="minorHAnsi"/>
          <w:iCs/>
          <w:color w:val="000000" w:themeColor="text1"/>
          <w:lang w:val="en-US"/>
        </w:rPr>
        <w:t xml:space="preserve"> 109, no. 3 (July 2019).</w:t>
      </w:r>
    </w:p>
    <w:p w14:paraId="7C610A8A" w14:textId="77777777" w:rsidR="00B4425E" w:rsidRPr="00514034" w:rsidRDefault="00B4425E" w:rsidP="00DE7232">
      <w:pPr>
        <w:spacing w:before="240" w:after="120"/>
        <w:rPr>
          <w:b/>
          <w:i/>
          <w:sz w:val="18"/>
          <w:lang w:val="en-US"/>
        </w:rPr>
      </w:pPr>
      <w:r w:rsidRPr="00514034">
        <w:rPr>
          <w:b/>
          <w:i/>
          <w:sz w:val="18"/>
          <w:lang w:val="en-US"/>
        </w:rPr>
        <w:t>TEACHING METHOD</w:t>
      </w:r>
    </w:p>
    <w:p w14:paraId="31DE3DE7" w14:textId="77777777" w:rsidR="00B4425E" w:rsidRPr="0035792B" w:rsidRDefault="00B4425E" w:rsidP="00DE7232">
      <w:pPr>
        <w:pStyle w:val="Testo2"/>
        <w:spacing w:line="240" w:lineRule="exact"/>
        <w:rPr>
          <w:lang w:val="en-US"/>
        </w:rPr>
      </w:pPr>
      <w:r w:rsidRPr="0035792B">
        <w:rPr>
          <w:lang w:val="en-US"/>
        </w:rPr>
        <w:t>Lectures in class.</w:t>
      </w:r>
    </w:p>
    <w:p w14:paraId="35F9A4CE" w14:textId="77777777" w:rsidR="00B4425E" w:rsidRPr="0035792B" w:rsidRDefault="00B4425E" w:rsidP="00DE7232">
      <w:pPr>
        <w:pStyle w:val="Testo2"/>
        <w:spacing w:line="240" w:lineRule="exact"/>
        <w:rPr>
          <w:lang w:val="en-US"/>
        </w:rPr>
      </w:pPr>
      <w:r w:rsidRPr="0035792B">
        <w:rPr>
          <w:lang w:val="en-US"/>
        </w:rPr>
        <w:t>Language of the course: English/Arabic</w:t>
      </w:r>
    </w:p>
    <w:p w14:paraId="45343D2A" w14:textId="77777777" w:rsidR="00B4425E" w:rsidRPr="00906645" w:rsidRDefault="00B4425E" w:rsidP="00DE7232">
      <w:pPr>
        <w:spacing w:before="240" w:after="120"/>
        <w:rPr>
          <w:b/>
          <w:i/>
          <w:sz w:val="18"/>
          <w:lang w:val="en-US"/>
        </w:rPr>
      </w:pPr>
      <w:r w:rsidRPr="00906645">
        <w:rPr>
          <w:b/>
          <w:i/>
          <w:sz w:val="18"/>
          <w:lang w:val="en-US"/>
        </w:rPr>
        <w:lastRenderedPageBreak/>
        <w:t>ASSESSMENT METHOD AND CRITERIA</w:t>
      </w:r>
    </w:p>
    <w:p w14:paraId="001B554B" w14:textId="77777777" w:rsidR="00B4425E" w:rsidRDefault="00B4425E" w:rsidP="00DE7232">
      <w:pPr>
        <w:pStyle w:val="Testo2"/>
        <w:spacing w:line="240" w:lineRule="exact"/>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10C297FF" w:rsidR="00B4425E" w:rsidRDefault="00B4425E" w:rsidP="00DE7232">
      <w:pPr>
        <w:pStyle w:val="Testo2"/>
        <w:numPr>
          <w:ilvl w:val="0"/>
          <w:numId w:val="3"/>
        </w:numPr>
        <w:spacing w:line="240" w:lineRule="exact"/>
        <w:ind w:left="567" w:hanging="283"/>
        <w:rPr>
          <w:lang w:val="en-US"/>
        </w:rPr>
      </w:pPr>
      <w:r>
        <w:rPr>
          <w:lang w:val="en-US"/>
        </w:rPr>
        <w:t>A test of the students’ reading</w:t>
      </w:r>
      <w:r w:rsidR="00385955">
        <w:rPr>
          <w:lang w:val="en-US"/>
        </w:rPr>
        <w:t>, comprehension</w:t>
      </w:r>
      <w:r>
        <w:rPr>
          <w:lang w:val="en-US"/>
        </w:rPr>
        <w:t xml:space="preserve"> and conversation skills.</w:t>
      </w:r>
    </w:p>
    <w:p w14:paraId="2FFC0902" w14:textId="77777777" w:rsidR="002D5E17" w:rsidRDefault="00B4425E" w:rsidP="00DE7232">
      <w:pPr>
        <w:pStyle w:val="Testo2"/>
        <w:numPr>
          <w:ilvl w:val="0"/>
          <w:numId w:val="3"/>
        </w:numPr>
        <w:spacing w:line="240" w:lineRule="exact"/>
        <w:ind w:left="567" w:hanging="283"/>
        <w:rPr>
          <w:lang w:val="en-US"/>
        </w:rPr>
      </w:pPr>
      <w:r>
        <w:rPr>
          <w:lang w:val="en-US"/>
        </w:rPr>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DE7232">
      <w:pPr>
        <w:spacing w:before="240" w:after="120"/>
        <w:rPr>
          <w:b/>
          <w:i/>
          <w:sz w:val="18"/>
          <w:lang w:val="en-US"/>
        </w:rPr>
      </w:pPr>
      <w:r w:rsidRPr="00B4425E">
        <w:rPr>
          <w:b/>
          <w:i/>
          <w:sz w:val="18"/>
          <w:lang w:val="en-US"/>
        </w:rPr>
        <w:t>NOTES AND PREREQUISITES</w:t>
      </w:r>
    </w:p>
    <w:p w14:paraId="23E02711" w14:textId="22BDA830" w:rsidR="007531E0" w:rsidRDefault="007531E0" w:rsidP="00DE7232">
      <w:pPr>
        <w:pStyle w:val="Testo2"/>
        <w:spacing w:line="240" w:lineRule="exact"/>
        <w:rPr>
          <w:lang w:val="en-US"/>
        </w:rPr>
      </w:pPr>
      <w:r w:rsidRPr="00D41DFF">
        <w:rPr>
          <w:lang w:val="en-US"/>
        </w:rPr>
        <w:t xml:space="preserve">A prerequisite for the </w:t>
      </w:r>
      <w:r w:rsidR="003A0CE9">
        <w:rPr>
          <w:lang w:val="en-US"/>
        </w:rPr>
        <w:t xml:space="preserve">attendance of the </w:t>
      </w:r>
      <w:r w:rsidRPr="00D41DFF">
        <w:rPr>
          <w:lang w:val="en-US"/>
        </w:rPr>
        <w:t xml:space="preserve">course is </w:t>
      </w:r>
      <w:r>
        <w:rPr>
          <w:lang w:val="en-US"/>
        </w:rPr>
        <w:t>a basic</w:t>
      </w:r>
      <w:r w:rsidRPr="00D41DFF">
        <w:rPr>
          <w:lang w:val="en-US"/>
        </w:rPr>
        <w:t xml:space="preserve"> knowledge of Arabic language</w:t>
      </w:r>
      <w:r>
        <w:rPr>
          <w:lang w:val="en-US"/>
        </w:rPr>
        <w:t xml:space="preserve">, as </w:t>
      </w:r>
      <w:r w:rsidRPr="00D41DFF">
        <w:rPr>
          <w:lang w:val="en-US"/>
        </w:rPr>
        <w:t xml:space="preserve">achieved at the end of </w:t>
      </w:r>
      <w:r>
        <w:rPr>
          <w:lang w:val="en-US"/>
        </w:rPr>
        <w:t>the course of</w:t>
      </w:r>
      <w:r w:rsidRPr="00D41DFF">
        <w:rPr>
          <w:lang w:val="en-US"/>
        </w:rPr>
        <w:t xml:space="preserve"> Arabic </w:t>
      </w:r>
      <w:r>
        <w:rPr>
          <w:lang w:val="en-US"/>
        </w:rPr>
        <w:t>Language and Culture.</w:t>
      </w:r>
      <w:r w:rsidRPr="00D41DFF">
        <w:rPr>
          <w:lang w:val="en-US"/>
        </w:rPr>
        <w:t xml:space="preserve"> </w:t>
      </w:r>
    </w:p>
    <w:p w14:paraId="4D242040" w14:textId="16B249BC" w:rsidR="0030675F" w:rsidRDefault="00B4425E" w:rsidP="00DE7232">
      <w:pPr>
        <w:pStyle w:val="Testo2"/>
        <w:spacing w:line="240" w:lineRule="exact"/>
        <w:rPr>
          <w:lang w:val="en-US"/>
        </w:rPr>
      </w:pPr>
      <w:r w:rsidRPr="0035792B">
        <w:rPr>
          <w:lang w:val="en-US"/>
        </w:rPr>
        <w:t>Office hours will be communicated in class</w:t>
      </w:r>
      <w:r w:rsidR="000773DC">
        <w:rPr>
          <w:lang w:val="en-US"/>
        </w:rPr>
        <w:t>.</w:t>
      </w:r>
    </w:p>
    <w:sectPr w:rsidR="003067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209D" w14:textId="77777777" w:rsidR="00F7548E" w:rsidRDefault="00F7548E" w:rsidP="00F7548E">
      <w:pPr>
        <w:spacing w:line="240" w:lineRule="auto"/>
      </w:pPr>
      <w:r>
        <w:separator/>
      </w:r>
    </w:p>
  </w:endnote>
  <w:endnote w:type="continuationSeparator" w:id="0">
    <w:p w14:paraId="76DB4DD3" w14:textId="77777777" w:rsidR="00F7548E" w:rsidRDefault="00F7548E" w:rsidP="00F75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592B" w14:textId="77777777" w:rsidR="00F7548E" w:rsidRDefault="00F7548E" w:rsidP="00F7548E">
      <w:pPr>
        <w:spacing w:line="240" w:lineRule="auto"/>
      </w:pPr>
      <w:r>
        <w:separator/>
      </w:r>
    </w:p>
  </w:footnote>
  <w:footnote w:type="continuationSeparator" w:id="0">
    <w:p w14:paraId="0285EF17" w14:textId="77777777" w:rsidR="00F7548E" w:rsidRDefault="00F7548E" w:rsidP="00F7548E">
      <w:pPr>
        <w:spacing w:line="240" w:lineRule="auto"/>
      </w:pPr>
      <w:r>
        <w:continuationSeparator/>
      </w:r>
    </w:p>
  </w:footnote>
  <w:footnote w:id="1">
    <w:p w14:paraId="1A3ED699" w14:textId="07723D9B" w:rsidR="00F7548E" w:rsidRDefault="00F754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4889868">
    <w:abstractNumId w:val="0"/>
  </w:num>
  <w:num w:numId="2" w16cid:durableId="967320978">
    <w:abstractNumId w:val="2"/>
  </w:num>
  <w:num w:numId="3" w16cid:durableId="1760100882">
    <w:abstractNumId w:val="1"/>
  </w:num>
  <w:num w:numId="4" w16cid:durableId="92858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5E"/>
    <w:rsid w:val="000773DC"/>
    <w:rsid w:val="001634A1"/>
    <w:rsid w:val="00187B99"/>
    <w:rsid w:val="002014DD"/>
    <w:rsid w:val="00256158"/>
    <w:rsid w:val="00270BCC"/>
    <w:rsid w:val="002D5E17"/>
    <w:rsid w:val="002F64E7"/>
    <w:rsid w:val="0030675F"/>
    <w:rsid w:val="0035792B"/>
    <w:rsid w:val="00385955"/>
    <w:rsid w:val="003A0CE9"/>
    <w:rsid w:val="004D1217"/>
    <w:rsid w:val="004D6008"/>
    <w:rsid w:val="00565DA3"/>
    <w:rsid w:val="005C5B4A"/>
    <w:rsid w:val="005C7F2A"/>
    <w:rsid w:val="00640794"/>
    <w:rsid w:val="006539B2"/>
    <w:rsid w:val="006F1772"/>
    <w:rsid w:val="007531E0"/>
    <w:rsid w:val="007847F9"/>
    <w:rsid w:val="00787F7F"/>
    <w:rsid w:val="00860EDA"/>
    <w:rsid w:val="0088306D"/>
    <w:rsid w:val="008942E7"/>
    <w:rsid w:val="008A1204"/>
    <w:rsid w:val="008A2281"/>
    <w:rsid w:val="00900CCA"/>
    <w:rsid w:val="00924B77"/>
    <w:rsid w:val="00940DA2"/>
    <w:rsid w:val="00977F7B"/>
    <w:rsid w:val="009E055C"/>
    <w:rsid w:val="00A74F6F"/>
    <w:rsid w:val="00AD7557"/>
    <w:rsid w:val="00B4425E"/>
    <w:rsid w:val="00B50C5D"/>
    <w:rsid w:val="00B51253"/>
    <w:rsid w:val="00B525CC"/>
    <w:rsid w:val="00BD5206"/>
    <w:rsid w:val="00D404F2"/>
    <w:rsid w:val="00DE7232"/>
    <w:rsid w:val="00DF1581"/>
    <w:rsid w:val="00E57A10"/>
    <w:rsid w:val="00E607E6"/>
    <w:rsid w:val="00E963F4"/>
    <w:rsid w:val="00EA3D87"/>
    <w:rsid w:val="00EB2508"/>
    <w:rsid w:val="00F7548E"/>
    <w:rsid w:val="00FF30A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15:chartTrackingRefBased/>
  <w15:docId w15:val="{F15CCB6A-B14F-4FA0-B09C-F413D839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F7548E"/>
    <w:pPr>
      <w:spacing w:line="240" w:lineRule="auto"/>
    </w:pPr>
    <w:rPr>
      <w:szCs w:val="20"/>
    </w:rPr>
  </w:style>
  <w:style w:type="character" w:customStyle="1" w:styleId="TestonotaapidipaginaCarattere">
    <w:name w:val="Testo nota a piè di pagina Carattere"/>
    <w:basedOn w:val="Carpredefinitoparagrafo"/>
    <w:link w:val="Testonotaapidipagina"/>
    <w:rsid w:val="00F7548E"/>
  </w:style>
  <w:style w:type="character" w:styleId="Rimandonotaapidipagina">
    <w:name w:val="footnote reference"/>
    <w:basedOn w:val="Carpredefinitoparagrafo"/>
    <w:rsid w:val="00F7548E"/>
    <w:rPr>
      <w:vertAlign w:val="superscript"/>
    </w:rPr>
  </w:style>
  <w:style w:type="character" w:styleId="Collegamentoipertestuale">
    <w:name w:val="Hyperlink"/>
    <w:basedOn w:val="Carpredefinitoparagrafo"/>
    <w:rsid w:val="00F7548E"/>
    <w:rPr>
      <w:color w:val="0563C1" w:themeColor="hyperlink"/>
      <w:u w:val="single"/>
    </w:rPr>
  </w:style>
  <w:style w:type="character" w:styleId="Menzionenonrisolta">
    <w:name w:val="Unresolved Mention"/>
    <w:basedOn w:val="Carpredefinitoparagrafo"/>
    <w:uiPriority w:val="99"/>
    <w:semiHidden/>
    <w:unhideWhenUsed/>
    <w:rsid w:val="00F75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9788834342367-6886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nasr-hamid-abu-zayd/islam-e-storia-critica-del-discorso-religioso-9788833928111-242881.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il-corano-9788817013369-208842.html" TargetMode="External"/><Relationship Id="rId4" Type="http://schemas.openxmlformats.org/officeDocument/2006/relationships/settings" Target="settings.xml"/><Relationship Id="rId9" Type="http://schemas.openxmlformats.org/officeDocument/2006/relationships/hyperlink" Target="https://librerie.unicatt.it/scheda-libro/wael-farouq-elisa-ferrero/le-parole-in-azione-vol-ii-9788834333266-5271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F54F-A477-4C99-A757-428B0E9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677</Words>
  <Characters>4496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2023-06-30T06:23:00Z</dcterms:created>
  <dcterms:modified xsi:type="dcterms:W3CDTF">2023-07-07T08:59:00Z</dcterms:modified>
</cp:coreProperties>
</file>