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85357" w:rsidRDefault="00CE2135">
      <w:pPr>
        <w:pStyle w:val="Titolo1"/>
      </w:pPr>
      <w:r>
        <w:t>Sociologia dei processi di Care</w:t>
      </w:r>
    </w:p>
    <w:p w14:paraId="00000002" w14:textId="77777777" w:rsidR="00285357" w:rsidRDefault="00CE2135">
      <w:pPr>
        <w:pStyle w:val="Titolo2"/>
      </w:pPr>
      <w:r>
        <w:t>Prof. Mariagrazia Santagati</w:t>
      </w:r>
    </w:p>
    <w:p w14:paraId="00000003" w14:textId="77777777" w:rsidR="00285357" w:rsidRDefault="00CE2135">
      <w:pPr>
        <w:spacing w:before="240" w:after="120" w:line="24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00000004" w14:textId="7B9AF917" w:rsidR="00285357" w:rsidRDefault="00CE2135">
      <w:pPr>
        <w:spacing w:line="240" w:lineRule="auto"/>
      </w:pPr>
      <w:r>
        <w:t xml:space="preserve">Il corso intende offrire strumenti analitici di tipo sociologico per l’analisi dei processi di cura nel lavoro educativo, con riferimento ai servizi alla persona all’interno del sistema di Welfare </w:t>
      </w:r>
      <w:r w:rsidR="00F911A2">
        <w:t>italiano</w:t>
      </w:r>
      <w:r>
        <w:t>. Nello specifico, si intende offrire un approfondimento sul profilo di chi lavora in educazione, considerando le organizzazioni, gli ambiti e i soggetti nel campo dell’educazione, nel quadro d</w:t>
      </w:r>
      <w:r w:rsidR="00F911A2">
        <w:t>e</w:t>
      </w:r>
      <w:r>
        <w:t xml:space="preserve">i continui cambiamenti sociali nei legami che mettono in questione uguaglianza e giustizia sociale.  </w:t>
      </w:r>
    </w:p>
    <w:p w14:paraId="00000005" w14:textId="77777777" w:rsidR="00285357" w:rsidRDefault="00CE2135">
      <w:pPr>
        <w:spacing w:line="240" w:lineRule="auto"/>
      </w:pPr>
      <w:r>
        <w:t xml:space="preserve">Attraverso il corso, lo studente sarà in grado di: </w:t>
      </w:r>
    </w:p>
    <w:p w14:paraId="00000006" w14:textId="77777777" w:rsidR="00285357" w:rsidRDefault="00CE2135">
      <w:pPr>
        <w:numPr>
          <w:ilvl w:val="0"/>
          <w:numId w:val="2"/>
        </w:numPr>
        <w:spacing w:line="240" w:lineRule="auto"/>
      </w:pPr>
      <w:r>
        <w:t xml:space="preserve">sviluppare un vocabolario sociologico essenziale utile nel lavoro nei servizi alla persona; </w:t>
      </w:r>
    </w:p>
    <w:p w14:paraId="00000007" w14:textId="0352E145" w:rsidR="00285357" w:rsidRDefault="00CE2135">
      <w:pPr>
        <w:numPr>
          <w:ilvl w:val="0"/>
          <w:numId w:val="2"/>
        </w:numPr>
        <w:spacing w:line="240" w:lineRule="auto"/>
      </w:pPr>
      <w:r>
        <w:t>conoscere il Welfare italiano, i bisogni e le risposte sul fronte della cura;</w:t>
      </w:r>
    </w:p>
    <w:p w14:paraId="00000008" w14:textId="5482364F" w:rsidR="00285357" w:rsidRDefault="00CE2135">
      <w:pPr>
        <w:numPr>
          <w:ilvl w:val="0"/>
          <w:numId w:val="2"/>
        </w:numPr>
        <w:spacing w:line="240" w:lineRule="auto"/>
      </w:pPr>
      <w:r>
        <w:t xml:space="preserve">sviluppare una lettura sociologica della professione educativa nella società contemporanea, con un approfondimento sul </w:t>
      </w:r>
      <w:proofErr w:type="spellStart"/>
      <w:r>
        <w:rPr>
          <w:i/>
        </w:rPr>
        <w:t>leaving</w:t>
      </w:r>
      <w:proofErr w:type="spellEnd"/>
      <w:r>
        <w:rPr>
          <w:i/>
        </w:rPr>
        <w:t xml:space="preserve"> care </w:t>
      </w:r>
      <w:r>
        <w:t xml:space="preserve">italiano </w:t>
      </w:r>
      <w:r w:rsidR="00F911A2">
        <w:t>relativo a</w:t>
      </w:r>
      <w:r>
        <w:rPr>
          <w:i/>
        </w:rPr>
        <w:t xml:space="preserve"> </w:t>
      </w:r>
      <w:r>
        <w:t xml:space="preserve">nativi e stranieri. </w:t>
      </w:r>
    </w:p>
    <w:p w14:paraId="00000009" w14:textId="77777777" w:rsidR="00285357" w:rsidRDefault="00CE2135">
      <w:pPr>
        <w:spacing w:before="240" w:after="120" w:line="24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PROGRAMMA DEL CORSO</w:t>
      </w:r>
    </w:p>
    <w:p w14:paraId="0000000A" w14:textId="77777777" w:rsidR="00285357" w:rsidRDefault="00CE2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La dimensione sociale della cura. Un vocabolario sociologico essenziale </w:t>
      </w:r>
    </w:p>
    <w:p w14:paraId="0000000B" w14:textId="77777777" w:rsidR="00285357" w:rsidRDefault="00CE2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Che cos’è il Welfare state</w:t>
      </w:r>
      <w:r>
        <w:rPr>
          <w:color w:val="000000"/>
          <w:szCs w:val="20"/>
        </w:rPr>
        <w:t>.</w:t>
      </w:r>
    </w:p>
    <w:p w14:paraId="0000000C" w14:textId="77777777" w:rsidR="00285357" w:rsidRDefault="00CE2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Il modello italiano di Welfare. </w:t>
      </w:r>
    </w:p>
    <w:p w14:paraId="0000000D" w14:textId="77777777" w:rsidR="00285357" w:rsidRDefault="00CE2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L’organizzazione dei servizi alla persona. </w:t>
      </w:r>
    </w:p>
    <w:p w14:paraId="0000000E" w14:textId="77777777" w:rsidR="00285357" w:rsidRDefault="00CE2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Processi e attori operanti nel Welfare State. </w:t>
      </w:r>
    </w:p>
    <w:p w14:paraId="0000000F" w14:textId="77777777" w:rsidR="00285357" w:rsidRDefault="00CE2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Dove lavorano gli educatori e con quali profili.</w:t>
      </w:r>
    </w:p>
    <w:p w14:paraId="00000010" w14:textId="77777777" w:rsidR="00285357" w:rsidRDefault="00CE2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Con chi lavora chi lavora in educazione. </w:t>
      </w:r>
    </w:p>
    <w:p w14:paraId="00000011" w14:textId="77777777" w:rsidR="00285357" w:rsidRDefault="00CE2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La rete dei servizi per le differenti generazioni. </w:t>
      </w:r>
    </w:p>
    <w:p w14:paraId="00000012" w14:textId="77777777" w:rsidR="00285357" w:rsidRDefault="00CE2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Un focus sul </w:t>
      </w:r>
      <w:r w:rsidRPr="00F911A2">
        <w:rPr>
          <w:i/>
          <w:iCs/>
        </w:rPr>
        <w:t xml:space="preserve">care </w:t>
      </w:r>
      <w:proofErr w:type="spellStart"/>
      <w:r w:rsidRPr="00F911A2">
        <w:rPr>
          <w:i/>
          <w:iCs/>
        </w:rPr>
        <w:t>leaving</w:t>
      </w:r>
      <w:proofErr w:type="spellEnd"/>
      <w:r>
        <w:t xml:space="preserve"> italiano. </w:t>
      </w:r>
    </w:p>
    <w:p w14:paraId="00000013" w14:textId="77777777" w:rsidR="00285357" w:rsidRDefault="00CE2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La comparazione tra i </w:t>
      </w:r>
      <w:r w:rsidRPr="00F911A2">
        <w:rPr>
          <w:i/>
          <w:iCs/>
        </w:rPr>
        <w:t xml:space="preserve">care </w:t>
      </w:r>
      <w:proofErr w:type="spellStart"/>
      <w:r w:rsidRPr="00F911A2">
        <w:rPr>
          <w:i/>
          <w:iCs/>
        </w:rPr>
        <w:t>leavers</w:t>
      </w:r>
      <w:proofErr w:type="spellEnd"/>
      <w:r>
        <w:t xml:space="preserve"> italiani e stranieri. </w:t>
      </w:r>
    </w:p>
    <w:p w14:paraId="00000014" w14:textId="77777777" w:rsidR="00285357" w:rsidRDefault="00285357">
      <w:pPr>
        <w:spacing w:after="80" w:line="240" w:lineRule="auto"/>
        <w:rPr>
          <w:rFonts w:ascii="Arial" w:eastAsia="Arial" w:hAnsi="Arial" w:cs="Arial"/>
          <w:b/>
          <w:i/>
          <w:color w:val="212529"/>
          <w:sz w:val="18"/>
          <w:szCs w:val="18"/>
          <w:shd w:val="clear" w:color="auto" w:fill="EBEBEB"/>
        </w:rPr>
      </w:pPr>
    </w:p>
    <w:p w14:paraId="00000015" w14:textId="7EA3FF8F" w:rsidR="00285357" w:rsidRDefault="00CE2135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BIBLIOGRAFIA</w:t>
      </w:r>
      <w:r w:rsidR="0087480D">
        <w:rPr>
          <w:rStyle w:val="Rimandonotaapidipagina"/>
          <w:b/>
          <w:i/>
          <w:sz w:val="18"/>
          <w:szCs w:val="18"/>
        </w:rPr>
        <w:footnoteReference w:id="1"/>
      </w:r>
    </w:p>
    <w:p w14:paraId="197AA33B" w14:textId="77777777" w:rsidR="0087480D" w:rsidRDefault="00CE2135" w:rsidP="0087480D">
      <w:pPr>
        <w:spacing w:line="240" w:lineRule="auto"/>
        <w:rPr>
          <w:rFonts w:eastAsia="Times"/>
          <w:sz w:val="18"/>
          <w:szCs w:val="18"/>
        </w:rPr>
      </w:pPr>
      <w:r w:rsidRPr="0087480D">
        <w:rPr>
          <w:rFonts w:eastAsia="Times"/>
          <w:smallCaps/>
          <w:sz w:val="18"/>
          <w:szCs w:val="18"/>
        </w:rPr>
        <w:t>W. S. Baroni,</w:t>
      </w:r>
      <w:r w:rsidRPr="0087480D">
        <w:rPr>
          <w:rFonts w:eastAsia="Times"/>
          <w:i/>
          <w:sz w:val="18"/>
          <w:szCs w:val="18"/>
        </w:rPr>
        <w:t xml:space="preserve"> Sociologia del lavoro educativo, </w:t>
      </w:r>
      <w:r w:rsidRPr="0087480D">
        <w:rPr>
          <w:rFonts w:eastAsia="Times"/>
          <w:sz w:val="18"/>
          <w:szCs w:val="18"/>
        </w:rPr>
        <w:t xml:space="preserve">Carocci, Roma 2021 (cap. 2, 3, 4). </w:t>
      </w:r>
      <w:bookmarkStart w:id="2" w:name="_Hlk138412979"/>
      <w:r w:rsidR="0087480D">
        <w:rPr>
          <w:rFonts w:eastAsia="Times"/>
          <w:sz w:val="18"/>
          <w:szCs w:val="18"/>
        </w:rPr>
        <w:t xml:space="preserve">  </w:t>
      </w:r>
    </w:p>
    <w:p w14:paraId="00000016" w14:textId="3242B987" w:rsidR="00285357" w:rsidRPr="0087480D" w:rsidRDefault="0087480D" w:rsidP="0087480D">
      <w:pPr>
        <w:spacing w:line="240" w:lineRule="auto"/>
        <w:rPr>
          <w:i/>
          <w:color w:val="0070C0"/>
          <w:sz w:val="18"/>
          <w:szCs w:val="18"/>
        </w:rPr>
      </w:pPr>
      <w:r>
        <w:rPr>
          <w:rFonts w:eastAsia="Times"/>
          <w:sz w:val="18"/>
          <w:szCs w:val="18"/>
        </w:rPr>
        <w:t xml:space="preserve">       </w:t>
      </w:r>
      <w:hyperlink r:id="rId8" w:history="1">
        <w:r w:rsidRPr="0087480D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00000017" w14:textId="77777777" w:rsidR="00285357" w:rsidRDefault="00CE2135">
      <w:pPr>
        <w:ind w:left="284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lastRenderedPageBreak/>
        <w:t xml:space="preserve">Una lista di letture su Welfare State e Welfare educativo sarà indicata e condivisa su </w:t>
      </w:r>
      <w:proofErr w:type="spellStart"/>
      <w:r>
        <w:rPr>
          <w:rFonts w:ascii="Times" w:eastAsia="Times" w:hAnsi="Times" w:cs="Times"/>
          <w:sz w:val="18"/>
          <w:szCs w:val="18"/>
        </w:rPr>
        <w:t>Blackboard</w:t>
      </w:r>
      <w:proofErr w:type="spellEnd"/>
      <w:r>
        <w:rPr>
          <w:rFonts w:ascii="Times" w:eastAsia="Times" w:hAnsi="Times" w:cs="Times"/>
          <w:sz w:val="18"/>
          <w:szCs w:val="18"/>
        </w:rPr>
        <w:t xml:space="preserve">. </w:t>
      </w:r>
    </w:p>
    <w:p w14:paraId="00000018" w14:textId="77777777" w:rsidR="00285357" w:rsidRDefault="00CE2135">
      <w:pPr>
        <w:pBdr>
          <w:top w:val="nil"/>
          <w:left w:val="nil"/>
          <w:bottom w:val="nil"/>
          <w:right w:val="nil"/>
          <w:between w:val="nil"/>
        </w:pBdr>
        <w:spacing w:before="120"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  <w:u w:val="single"/>
        </w:rPr>
      </w:pPr>
      <w:r>
        <w:rPr>
          <w:rFonts w:ascii="Times" w:eastAsia="Times" w:hAnsi="Times" w:cs="Times"/>
          <w:color w:val="000000"/>
          <w:sz w:val="18"/>
          <w:szCs w:val="18"/>
          <w:u w:val="single"/>
        </w:rPr>
        <w:t>Più un testo a scelta tra:</w:t>
      </w:r>
    </w:p>
    <w:p w14:paraId="18398C5C" w14:textId="77777777" w:rsidR="0087480D" w:rsidRDefault="00CE2135" w:rsidP="0087480D">
      <w:pPr>
        <w:spacing w:line="240" w:lineRule="auto"/>
        <w:rPr>
          <w:rFonts w:eastAsia="Times"/>
          <w:i/>
          <w:sz w:val="18"/>
          <w:szCs w:val="18"/>
        </w:rPr>
      </w:pPr>
      <w:r w:rsidRPr="0087480D">
        <w:rPr>
          <w:rFonts w:eastAsia="Times"/>
          <w:smallCaps/>
          <w:sz w:val="18"/>
          <w:szCs w:val="18"/>
        </w:rPr>
        <w:t>V</w:t>
      </w:r>
      <w:r w:rsidRPr="0087480D">
        <w:rPr>
          <w:rFonts w:eastAsia="Times"/>
          <w:smallCaps/>
          <w:color w:val="000000"/>
          <w:sz w:val="18"/>
          <w:szCs w:val="18"/>
        </w:rPr>
        <w:t>. Be</w:t>
      </w:r>
      <w:r w:rsidRPr="0087480D">
        <w:rPr>
          <w:rFonts w:eastAsia="Times"/>
          <w:smallCaps/>
          <w:sz w:val="18"/>
          <w:szCs w:val="18"/>
        </w:rPr>
        <w:t>lotti</w:t>
      </w:r>
      <w:r w:rsidRPr="0087480D">
        <w:rPr>
          <w:rFonts w:eastAsia="Times"/>
          <w:smallCaps/>
          <w:color w:val="000000"/>
          <w:sz w:val="18"/>
          <w:szCs w:val="18"/>
        </w:rPr>
        <w:t xml:space="preserve"> </w:t>
      </w:r>
      <w:r w:rsidRPr="0087480D">
        <w:rPr>
          <w:rFonts w:eastAsia="Times"/>
          <w:color w:val="000000"/>
          <w:sz w:val="18"/>
          <w:szCs w:val="18"/>
        </w:rPr>
        <w:t>(a cura di),</w:t>
      </w:r>
      <w:r w:rsidRPr="0087480D">
        <w:rPr>
          <w:rFonts w:eastAsia="Times"/>
          <w:i/>
          <w:color w:val="000000"/>
          <w:sz w:val="18"/>
          <w:szCs w:val="18"/>
        </w:rPr>
        <w:t xml:space="preserve"> </w:t>
      </w:r>
      <w:r w:rsidRPr="0087480D">
        <w:rPr>
          <w:rFonts w:eastAsia="Times"/>
          <w:i/>
          <w:sz w:val="18"/>
          <w:szCs w:val="18"/>
        </w:rPr>
        <w:t xml:space="preserve">Care </w:t>
      </w:r>
      <w:proofErr w:type="spellStart"/>
      <w:r w:rsidRPr="0087480D">
        <w:rPr>
          <w:rFonts w:eastAsia="Times"/>
          <w:i/>
          <w:sz w:val="18"/>
          <w:szCs w:val="18"/>
        </w:rPr>
        <w:t>Leavers</w:t>
      </w:r>
      <w:proofErr w:type="spellEnd"/>
      <w:r w:rsidRPr="0087480D">
        <w:rPr>
          <w:rFonts w:eastAsia="Times"/>
          <w:i/>
          <w:sz w:val="18"/>
          <w:szCs w:val="18"/>
        </w:rPr>
        <w:t xml:space="preserve">. Giovani, partecipazione e autonomia </w:t>
      </w:r>
      <w:proofErr w:type="gramStart"/>
      <w:r w:rsidRPr="0087480D">
        <w:rPr>
          <w:rFonts w:eastAsia="Times"/>
          <w:i/>
          <w:sz w:val="18"/>
          <w:szCs w:val="18"/>
        </w:rPr>
        <w:t>nel care</w:t>
      </w:r>
      <w:proofErr w:type="gramEnd"/>
      <w:r w:rsidRPr="0087480D">
        <w:rPr>
          <w:rFonts w:eastAsia="Times"/>
          <w:i/>
          <w:sz w:val="18"/>
          <w:szCs w:val="18"/>
        </w:rPr>
        <w:t xml:space="preserve"> </w:t>
      </w:r>
      <w:proofErr w:type="spellStart"/>
      <w:r w:rsidRPr="0087480D">
        <w:rPr>
          <w:rFonts w:eastAsia="Times"/>
          <w:i/>
          <w:sz w:val="18"/>
          <w:szCs w:val="18"/>
        </w:rPr>
        <w:t>leaving</w:t>
      </w:r>
      <w:proofErr w:type="spellEnd"/>
      <w:r w:rsidRPr="0087480D">
        <w:rPr>
          <w:rFonts w:eastAsia="Times"/>
          <w:i/>
          <w:sz w:val="18"/>
          <w:szCs w:val="18"/>
        </w:rPr>
        <w:t xml:space="preserve"> </w:t>
      </w:r>
    </w:p>
    <w:p w14:paraId="00000019" w14:textId="0D9566A2" w:rsidR="00285357" w:rsidRPr="0087480D" w:rsidRDefault="0087480D" w:rsidP="0087480D">
      <w:pPr>
        <w:spacing w:line="240" w:lineRule="auto"/>
        <w:rPr>
          <w:i/>
          <w:color w:val="0070C0"/>
          <w:sz w:val="18"/>
          <w:szCs w:val="18"/>
        </w:rPr>
      </w:pPr>
      <w:r>
        <w:rPr>
          <w:rFonts w:eastAsia="Times"/>
          <w:i/>
          <w:sz w:val="18"/>
          <w:szCs w:val="18"/>
        </w:rPr>
        <w:t xml:space="preserve">      </w:t>
      </w:r>
      <w:r w:rsidR="00CE2135" w:rsidRPr="0087480D">
        <w:rPr>
          <w:rFonts w:eastAsia="Times"/>
          <w:i/>
          <w:sz w:val="18"/>
          <w:szCs w:val="18"/>
        </w:rPr>
        <w:t>italiano</w:t>
      </w:r>
      <w:r w:rsidR="00CE2135" w:rsidRPr="0087480D">
        <w:rPr>
          <w:rFonts w:eastAsia="Times"/>
          <w:i/>
          <w:color w:val="000000"/>
          <w:sz w:val="18"/>
          <w:szCs w:val="18"/>
        </w:rPr>
        <w:t>,</w:t>
      </w:r>
      <w:r w:rsidR="00CE2135" w:rsidRPr="0087480D">
        <w:rPr>
          <w:rFonts w:eastAsia="Times"/>
          <w:color w:val="000000"/>
          <w:sz w:val="18"/>
          <w:szCs w:val="18"/>
        </w:rPr>
        <w:t xml:space="preserve"> </w:t>
      </w:r>
      <w:proofErr w:type="spellStart"/>
      <w:r w:rsidR="00CE2135" w:rsidRPr="0087480D">
        <w:rPr>
          <w:rFonts w:eastAsia="Times"/>
          <w:color w:val="000000"/>
          <w:sz w:val="18"/>
          <w:szCs w:val="18"/>
        </w:rPr>
        <w:t>Erickson</w:t>
      </w:r>
      <w:proofErr w:type="spellEnd"/>
      <w:r w:rsidR="00CE2135" w:rsidRPr="0087480D">
        <w:rPr>
          <w:rFonts w:eastAsia="Times"/>
          <w:color w:val="000000"/>
          <w:sz w:val="18"/>
          <w:szCs w:val="18"/>
        </w:rPr>
        <w:t>, Trento, 2021.</w:t>
      </w:r>
      <w:r w:rsidRPr="0087480D">
        <w:rPr>
          <w:i/>
          <w:color w:val="0070C0"/>
          <w:sz w:val="18"/>
          <w:szCs w:val="18"/>
        </w:rPr>
        <w:t xml:space="preserve"> </w:t>
      </w:r>
      <w:hyperlink r:id="rId9" w:history="1">
        <w:r w:rsidRPr="0087480D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0000001A" w14:textId="0D2566B0" w:rsidR="00285357" w:rsidRDefault="00CE213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</w:rPr>
      </w:pPr>
      <w:bookmarkStart w:id="4" w:name="_Hlk139385259"/>
      <w:r>
        <w:rPr>
          <w:rFonts w:ascii="Times" w:eastAsia="Times" w:hAnsi="Times" w:cs="Times"/>
          <w:smallCaps/>
          <w:sz w:val="18"/>
          <w:szCs w:val="18"/>
        </w:rPr>
        <w:t>M</w:t>
      </w:r>
      <w:r>
        <w:rPr>
          <w:rFonts w:ascii="Times" w:eastAsia="Times" w:hAnsi="Times" w:cs="Times"/>
          <w:smallCaps/>
          <w:color w:val="000000"/>
          <w:sz w:val="18"/>
          <w:szCs w:val="18"/>
        </w:rPr>
        <w:t>. San</w:t>
      </w:r>
      <w:r>
        <w:rPr>
          <w:rFonts w:ascii="Times" w:eastAsia="Times" w:hAnsi="Times" w:cs="Times"/>
          <w:smallCaps/>
          <w:sz w:val="18"/>
          <w:szCs w:val="18"/>
        </w:rPr>
        <w:t>tagat</w:t>
      </w:r>
      <w:r>
        <w:rPr>
          <w:rFonts w:ascii="Times" w:eastAsia="Times" w:hAnsi="Times" w:cs="Times"/>
          <w:smallCaps/>
          <w:color w:val="000000"/>
          <w:sz w:val="18"/>
          <w:szCs w:val="18"/>
        </w:rPr>
        <w:t xml:space="preserve">i </w:t>
      </w:r>
      <w:r>
        <w:rPr>
          <w:rFonts w:ascii="Times" w:eastAsia="Times" w:hAnsi="Times" w:cs="Times"/>
          <w:color w:val="000000"/>
          <w:sz w:val="18"/>
          <w:szCs w:val="18"/>
        </w:rPr>
        <w:t>(a cura di),</w:t>
      </w: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 Minori stranieri non accompagnati</w:t>
      </w:r>
      <w:r>
        <w:rPr>
          <w:rFonts w:ascii="Times" w:eastAsia="Times" w:hAnsi="Times" w:cs="Times"/>
          <w:i/>
          <w:sz w:val="18"/>
          <w:szCs w:val="18"/>
        </w:rPr>
        <w:t xml:space="preserve"> in Italia. Tra </w:t>
      </w:r>
      <w:r w:rsidR="00F911A2">
        <w:rPr>
          <w:rFonts w:ascii="Times" w:eastAsia="Times" w:hAnsi="Times" w:cs="Times"/>
          <w:i/>
          <w:sz w:val="18"/>
          <w:szCs w:val="18"/>
        </w:rPr>
        <w:t xml:space="preserve">accoglienza, </w:t>
      </w:r>
      <w:r>
        <w:rPr>
          <w:rFonts w:ascii="Times" w:eastAsia="Times" w:hAnsi="Times" w:cs="Times"/>
          <w:i/>
          <w:sz w:val="18"/>
          <w:szCs w:val="18"/>
        </w:rPr>
        <w:t>educazione</w:t>
      </w:r>
      <w:r w:rsidR="00F911A2">
        <w:rPr>
          <w:rFonts w:ascii="Times" w:eastAsia="Times" w:hAnsi="Times" w:cs="Times"/>
          <w:i/>
          <w:sz w:val="18"/>
          <w:szCs w:val="18"/>
        </w:rPr>
        <w:t xml:space="preserve"> e</w:t>
      </w:r>
      <w:r>
        <w:rPr>
          <w:rFonts w:ascii="Times" w:eastAsia="Times" w:hAnsi="Times" w:cs="Times"/>
          <w:i/>
          <w:sz w:val="18"/>
          <w:szCs w:val="18"/>
        </w:rPr>
        <w:t xml:space="preserve"> formazione</w:t>
      </w:r>
      <w:r>
        <w:rPr>
          <w:rFonts w:ascii="Times" w:eastAsia="Times" w:hAnsi="Times" w:cs="Times"/>
          <w:i/>
          <w:color w:val="000000"/>
          <w:sz w:val="18"/>
          <w:szCs w:val="18"/>
        </w:rPr>
        <w:t>,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FrancoAngeli, </w:t>
      </w:r>
      <w:r>
        <w:rPr>
          <w:rFonts w:ascii="Times" w:eastAsia="Times" w:hAnsi="Times" w:cs="Times"/>
          <w:sz w:val="18"/>
          <w:szCs w:val="18"/>
        </w:rPr>
        <w:t>Milano (in corso di stampa)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. </w:t>
      </w:r>
    </w:p>
    <w:bookmarkEnd w:id="4"/>
    <w:p w14:paraId="0000001B" w14:textId="77777777" w:rsidR="00285357" w:rsidRDefault="00CE2135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0000001C" w14:textId="146758EF" w:rsidR="00285357" w:rsidRDefault="00CE2135">
      <w:pPr>
        <w:ind w:firstLine="284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 xml:space="preserve">Il corso si sviluppa in unità didattiche, che saranno presentate mediante diapositive in </w:t>
      </w:r>
      <w:r w:rsidR="00F911A2">
        <w:rPr>
          <w:rFonts w:ascii="Times" w:eastAsia="Times" w:hAnsi="Times" w:cs="Times"/>
          <w:sz w:val="18"/>
          <w:szCs w:val="18"/>
        </w:rPr>
        <w:t>PowerPoint</w:t>
      </w:r>
      <w:r>
        <w:rPr>
          <w:rFonts w:ascii="Times" w:eastAsia="Times" w:hAnsi="Times" w:cs="Times"/>
          <w:sz w:val="18"/>
          <w:szCs w:val="18"/>
        </w:rPr>
        <w:t xml:space="preserve">. I materiali didattici saranno resi disponibili agli studenti su </w:t>
      </w:r>
      <w:proofErr w:type="spellStart"/>
      <w:r>
        <w:rPr>
          <w:rFonts w:ascii="Times" w:eastAsia="Times" w:hAnsi="Times" w:cs="Times"/>
          <w:sz w:val="18"/>
          <w:szCs w:val="18"/>
        </w:rPr>
        <w:t>Blackboard</w:t>
      </w:r>
      <w:proofErr w:type="spellEnd"/>
      <w:r>
        <w:rPr>
          <w:rFonts w:ascii="Times" w:eastAsia="Times" w:hAnsi="Times" w:cs="Times"/>
          <w:sz w:val="18"/>
          <w:szCs w:val="18"/>
        </w:rPr>
        <w:t xml:space="preserve">. Durante le lezioni verranno svolte esercitazioni sui punti 6 e 7 del programma, con il coinvolgimento attivo degli studenti nell’analisi e </w:t>
      </w:r>
      <w:r w:rsidR="00F911A2">
        <w:rPr>
          <w:rFonts w:ascii="Times" w:eastAsia="Times" w:hAnsi="Times" w:cs="Times"/>
          <w:sz w:val="18"/>
          <w:szCs w:val="18"/>
        </w:rPr>
        <w:t xml:space="preserve">nella </w:t>
      </w:r>
      <w:r>
        <w:rPr>
          <w:rFonts w:ascii="Times" w:eastAsia="Times" w:hAnsi="Times" w:cs="Times"/>
          <w:sz w:val="18"/>
          <w:szCs w:val="18"/>
        </w:rPr>
        <w:t xml:space="preserve">ricerca sociologica. </w:t>
      </w:r>
    </w:p>
    <w:p w14:paraId="0000001E" w14:textId="77777777" w:rsidR="00285357" w:rsidRDefault="00CE2135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E CRITERI DI VALUTAZIONE</w:t>
      </w:r>
    </w:p>
    <w:p w14:paraId="0000001F" w14:textId="77777777" w:rsidR="00285357" w:rsidRDefault="00CE213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L’esame è </w:t>
      </w:r>
      <w:r>
        <w:rPr>
          <w:rFonts w:ascii="Times" w:eastAsia="Times" w:hAnsi="Times" w:cs="Times"/>
          <w:sz w:val="18"/>
          <w:szCs w:val="18"/>
        </w:rPr>
        <w:t xml:space="preserve">orale e riguarderà testi e temi oggetto del corso. </w:t>
      </w:r>
    </w:p>
    <w:p w14:paraId="00000020" w14:textId="77777777" w:rsidR="00285357" w:rsidRDefault="00CE213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Tra i criteri di valutazione verranno presi in considerazione: la capacità di utilizzare</w:t>
      </w:r>
      <w:r>
        <w:rPr>
          <w:rFonts w:ascii="Times" w:eastAsia="Times" w:hAnsi="Times" w:cs="Times"/>
          <w:sz w:val="18"/>
          <w:szCs w:val="18"/>
        </w:rPr>
        <w:t xml:space="preserve"> linguaggio e categorie </w:t>
      </w:r>
      <w:r>
        <w:rPr>
          <w:rFonts w:ascii="Times" w:eastAsia="Times" w:hAnsi="Times" w:cs="Times"/>
          <w:color w:val="000000"/>
          <w:sz w:val="18"/>
          <w:szCs w:val="18"/>
        </w:rPr>
        <w:t>appropriate per l’analisi sociologica d</w:t>
      </w:r>
      <w:r>
        <w:rPr>
          <w:rFonts w:ascii="Times" w:eastAsia="Times" w:hAnsi="Times" w:cs="Times"/>
          <w:sz w:val="18"/>
          <w:szCs w:val="18"/>
        </w:rPr>
        <w:t>ei processi di cura nel lavoro educativo, dei servizi alla persona nel Welfare State</w:t>
      </w:r>
      <w:r>
        <w:rPr>
          <w:rFonts w:ascii="Times" w:eastAsia="Times" w:hAnsi="Times" w:cs="Times"/>
          <w:color w:val="000000"/>
          <w:sz w:val="18"/>
          <w:szCs w:val="18"/>
        </w:rPr>
        <w:t>; la capacità di lettura ed interpretazione sociologica dei processi di cura; l’elaborazione di un pensiero personale e critico sui temi del corso.</w:t>
      </w:r>
    </w:p>
    <w:p w14:paraId="00000021" w14:textId="77777777" w:rsidR="00285357" w:rsidRDefault="00CE2135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00000022" w14:textId="77777777" w:rsidR="00285357" w:rsidRDefault="00CE213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È richiesta una conoscenza sociologica di base, in modo da padroneggiare alcuni concetti chiave della disciplina e della ricerca sociologica.</w:t>
      </w:r>
    </w:p>
    <w:p w14:paraId="00000023" w14:textId="77777777" w:rsidR="00285357" w:rsidRDefault="00CE2135">
      <w:pPr>
        <w:spacing w:before="120"/>
        <w:ind w:firstLine="284"/>
        <w:rPr>
          <w:rFonts w:ascii="Times" w:eastAsia="Times" w:hAnsi="Times" w:cs="Times"/>
          <w:i/>
          <w:sz w:val="18"/>
          <w:szCs w:val="18"/>
        </w:rPr>
      </w:pPr>
      <w:r>
        <w:rPr>
          <w:rFonts w:ascii="Times" w:eastAsia="Times" w:hAnsi="Times" w:cs="Times"/>
          <w:i/>
          <w:sz w:val="18"/>
          <w:szCs w:val="18"/>
        </w:rPr>
        <w:t>Orario e luogo di ricevimento</w:t>
      </w:r>
    </w:p>
    <w:p w14:paraId="00000024" w14:textId="3CA7C00B" w:rsidR="00285357" w:rsidRDefault="00CE2135">
      <w:pPr>
        <w:ind w:firstLine="284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La Prof. Mariagrazia Santagati riceve gli studenti presso il Dipartimento di Sociologia nei giorni di lezione</w:t>
      </w:r>
      <w:r w:rsidR="00F911A2">
        <w:rPr>
          <w:rFonts w:ascii="Times" w:eastAsia="Times" w:hAnsi="Times" w:cs="Times"/>
          <w:sz w:val="18"/>
          <w:szCs w:val="18"/>
        </w:rPr>
        <w:t xml:space="preserve"> </w:t>
      </w:r>
      <w:r w:rsidR="00AE506A">
        <w:rPr>
          <w:rFonts w:ascii="Times" w:eastAsia="Times" w:hAnsi="Times" w:cs="Times"/>
          <w:sz w:val="18"/>
          <w:szCs w:val="18"/>
        </w:rPr>
        <w:t xml:space="preserve">e </w:t>
      </w:r>
      <w:r>
        <w:rPr>
          <w:rFonts w:ascii="Times" w:eastAsia="Times" w:hAnsi="Times" w:cs="Times"/>
          <w:sz w:val="18"/>
          <w:szCs w:val="18"/>
        </w:rPr>
        <w:t xml:space="preserve">su appuntamento, previa e-mail all’indirizzo: </w:t>
      </w:r>
      <w:r>
        <w:rPr>
          <w:rFonts w:ascii="Times" w:eastAsia="Times" w:hAnsi="Times" w:cs="Times"/>
          <w:i/>
          <w:sz w:val="18"/>
          <w:szCs w:val="18"/>
        </w:rPr>
        <w:t>mariagrazia.santagati@unicatt.it</w:t>
      </w:r>
      <w:r>
        <w:rPr>
          <w:rFonts w:ascii="Times" w:eastAsia="Times" w:hAnsi="Times" w:cs="Times"/>
          <w:sz w:val="18"/>
          <w:szCs w:val="18"/>
        </w:rPr>
        <w:t>.</w:t>
      </w:r>
    </w:p>
    <w:p w14:paraId="00000025" w14:textId="77777777" w:rsidR="00285357" w:rsidRDefault="00285357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sz w:val="18"/>
          <w:szCs w:val="18"/>
        </w:rPr>
      </w:pPr>
    </w:p>
    <w:sectPr w:rsidR="00285357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1AAE" w14:textId="77777777" w:rsidR="0087480D" w:rsidRDefault="0087480D" w:rsidP="0087480D">
      <w:pPr>
        <w:spacing w:line="240" w:lineRule="auto"/>
      </w:pPr>
      <w:r>
        <w:separator/>
      </w:r>
    </w:p>
  </w:endnote>
  <w:endnote w:type="continuationSeparator" w:id="0">
    <w:p w14:paraId="6315B2D1" w14:textId="77777777" w:rsidR="0087480D" w:rsidRDefault="0087480D" w:rsidP="00874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9DDB3" w14:textId="77777777" w:rsidR="0087480D" w:rsidRDefault="0087480D" w:rsidP="0087480D">
      <w:pPr>
        <w:spacing w:line="240" w:lineRule="auto"/>
      </w:pPr>
      <w:r>
        <w:separator/>
      </w:r>
    </w:p>
  </w:footnote>
  <w:footnote w:type="continuationSeparator" w:id="0">
    <w:p w14:paraId="11A1B9AD" w14:textId="77777777" w:rsidR="0087480D" w:rsidRDefault="0087480D" w:rsidP="0087480D">
      <w:pPr>
        <w:spacing w:line="240" w:lineRule="auto"/>
      </w:pPr>
      <w:r>
        <w:continuationSeparator/>
      </w:r>
    </w:p>
  </w:footnote>
  <w:footnote w:id="1">
    <w:p w14:paraId="7C686521" w14:textId="77777777" w:rsidR="0087480D" w:rsidRDefault="0087480D" w:rsidP="0087480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4900E00" w14:textId="2F2A5009" w:rsidR="0087480D" w:rsidRDefault="0087480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79BD"/>
    <w:multiLevelType w:val="multilevel"/>
    <w:tmpl w:val="22EAE1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581F2F"/>
    <w:multiLevelType w:val="multilevel"/>
    <w:tmpl w:val="FEEC50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57"/>
    <w:rsid w:val="00285357"/>
    <w:rsid w:val="0087480D"/>
    <w:rsid w:val="00AE506A"/>
    <w:rsid w:val="00CE2135"/>
    <w:rsid w:val="00F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EBC2"/>
  <w15:docId w15:val="{C3A3801D-AC79-4F9A-96D0-FE0DA286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abs>
          <w:tab w:val="left" w:pos="284"/>
        </w:tabs>
        <w:spacing w:line="2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7557"/>
    <w:pPr>
      <w:spacing w:line="220" w:lineRule="exact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"/>
    <w:unhideWhenUsed/>
    <w:qFormat/>
    <w:rsid w:val="00E607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uiPriority w:val="9"/>
    <w:semiHidden/>
    <w:unhideWhenUsed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spacing w:line="220" w:lineRule="exact"/>
      <w:ind w:firstLine="284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WPNormal">
    <w:name w:val="WP_Normal"/>
    <w:basedOn w:val="Normale"/>
    <w:rsid w:val="00001F5E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001F5E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rsid w:val="00001F5E"/>
    <w:pPr>
      <w:tabs>
        <w:tab w:val="clear" w:pos="284"/>
      </w:tabs>
      <w:spacing w:line="240" w:lineRule="auto"/>
    </w:pPr>
    <w:rPr>
      <w:noProof/>
      <w:sz w:val="24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01F5E"/>
    <w:rPr>
      <w:noProof/>
      <w:sz w:val="24"/>
    </w:rPr>
  </w:style>
  <w:style w:type="paragraph" w:styleId="Testonotaapidipagina">
    <w:name w:val="footnote text"/>
    <w:basedOn w:val="Normale"/>
    <w:link w:val="TestonotaapidipaginaCarattere"/>
    <w:rsid w:val="00B37C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7C6D"/>
  </w:style>
  <w:style w:type="character" w:styleId="Rimandonotaapidipagina">
    <w:name w:val="footnote reference"/>
    <w:basedOn w:val="Carpredefinitoparagrafo"/>
    <w:rsid w:val="00B37C6D"/>
    <w:rPr>
      <w:vertAlign w:val="superscript"/>
    </w:rPr>
  </w:style>
  <w:style w:type="character" w:styleId="Collegamentoipertestuale">
    <w:name w:val="Hyperlink"/>
    <w:basedOn w:val="Carpredefinitoparagrafo"/>
    <w:rsid w:val="00B37C6D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A454E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  <w:style w:type="character" w:styleId="Collegamentovisitato">
    <w:name w:val="FollowedHyperlink"/>
    <w:basedOn w:val="Carpredefinitoparagrafo"/>
    <w:semiHidden/>
    <w:unhideWhenUsed/>
    <w:rsid w:val="0027798C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4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walter-stefano-baroni/sociologia-del-lavoro-educativo-9788829011278-69987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care-leavers-giovani-partecipazione-e-autonomia-nel-leaving-care-italiano-9788859027980-72331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okVAM8Kp5ArQEF9Bg1Bmr+GffA==">AMUW2mVoMxm6xwsmfdJTXQ3z7ybygAIPEVXRKQoaZP/9PUEwaLKhrotwZ6s3gRicvUrE6X98Ivm1nlkjOSOU5laM++O+WuKDQA23FEwNeGjOiOKn4bndQUY=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dcterms:created xsi:type="dcterms:W3CDTF">2023-05-12T07:08:00Z</dcterms:created>
  <dcterms:modified xsi:type="dcterms:W3CDTF">2023-07-04T15:48:00Z</dcterms:modified>
</cp:coreProperties>
</file>