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34E9" w14:textId="57354FFD" w:rsidR="002D5E17" w:rsidRDefault="00520924" w:rsidP="002D5E17">
      <w:pPr>
        <w:pStyle w:val="Titolo1"/>
      </w:pPr>
      <w:r>
        <w:t>Sociologia del disagio e della devi</w:t>
      </w:r>
      <w:r w:rsidR="00C64B09">
        <w:t>a</w:t>
      </w:r>
      <w:r>
        <w:t>nza</w:t>
      </w:r>
    </w:p>
    <w:p w14:paraId="2C18DBCC" w14:textId="62A8A03C" w:rsidR="00520924" w:rsidRDefault="00520924" w:rsidP="00520924">
      <w:pPr>
        <w:pStyle w:val="Titolo2"/>
      </w:pPr>
      <w:r>
        <w:t xml:space="preserve">Prof. </w:t>
      </w:r>
      <w:r w:rsidR="00A355C4">
        <w:t xml:space="preserve">linda lombi </w:t>
      </w:r>
    </w:p>
    <w:p w14:paraId="4C3AD881" w14:textId="77777777" w:rsidR="00520924" w:rsidRDefault="00520924" w:rsidP="00520924">
      <w:pPr>
        <w:tabs>
          <w:tab w:val="left" w:pos="284"/>
        </w:tabs>
        <w:spacing w:before="240" w:after="120" w:line="240" w:lineRule="auto"/>
        <w:jc w:val="both"/>
        <w:rPr>
          <w:rFonts w:ascii="Times New Roman" w:eastAsia="Times New Roman" w:hAnsi="Times New Roman" w:cs="Times New Roman"/>
          <w:b/>
          <w:sz w:val="18"/>
        </w:rPr>
      </w:pPr>
      <w:r>
        <w:rPr>
          <w:rFonts w:ascii="Times New Roman" w:eastAsia="Times New Roman" w:hAnsi="Times New Roman" w:cs="Times New Roman"/>
          <w:b/>
          <w:i/>
          <w:sz w:val="18"/>
        </w:rPr>
        <w:t>OBIETTIVO DEL CORSO E RISULTATI DI APPRENDIMENTO ATTESI</w:t>
      </w:r>
    </w:p>
    <w:p w14:paraId="711F6E30" w14:textId="64EC7501" w:rsidR="002159E1" w:rsidRDefault="008C3D63" w:rsidP="00520924">
      <w:pPr>
        <w:tabs>
          <w:tab w:val="left" w:pos="284"/>
        </w:tabs>
        <w:spacing w:after="0" w:line="240" w:lineRule="auto"/>
        <w:jc w:val="both"/>
        <w:rPr>
          <w:rFonts w:ascii="Times New Roman" w:eastAsia="Times New Roman" w:hAnsi="Times New Roman" w:cs="Times New Roman"/>
          <w:sz w:val="20"/>
          <w:szCs w:val="20"/>
        </w:rPr>
      </w:pPr>
      <w:r w:rsidRPr="00B448D2">
        <w:rPr>
          <w:rFonts w:ascii="Times New Roman" w:hAnsi="Times New Roman"/>
          <w:bCs/>
          <w:iCs/>
          <w:sz w:val="20"/>
        </w:rPr>
        <w:t>Muovendo dall’analisi delle tappe più significative del pensiero sociologico e dei concetti da esso derivanti, il corso intende avvicinare gli studenti</w:t>
      </w:r>
      <w:r>
        <w:rPr>
          <w:rFonts w:ascii="Times New Roman" w:hAnsi="Times New Roman"/>
          <w:bCs/>
          <w:iCs/>
          <w:sz w:val="20"/>
        </w:rPr>
        <w:t xml:space="preserve"> </w:t>
      </w:r>
      <w:r w:rsidR="002159E1">
        <w:rPr>
          <w:rFonts w:ascii="Times New Roman" w:hAnsi="Times New Roman"/>
          <w:bCs/>
          <w:iCs/>
          <w:sz w:val="20"/>
        </w:rPr>
        <w:t xml:space="preserve">agli approcci </w:t>
      </w:r>
      <w:r w:rsidR="002159E1" w:rsidRPr="00520924">
        <w:rPr>
          <w:rFonts w:ascii="Times New Roman" w:eastAsia="Times New Roman" w:hAnsi="Times New Roman" w:cs="Times New Roman"/>
          <w:sz w:val="20"/>
          <w:szCs w:val="20"/>
        </w:rPr>
        <w:t>teorici della sociologia del disagio e della devianza</w:t>
      </w:r>
      <w:r w:rsidR="00EF0A36">
        <w:rPr>
          <w:rFonts w:ascii="Times New Roman" w:eastAsia="Times New Roman" w:hAnsi="Times New Roman" w:cs="Times New Roman"/>
          <w:sz w:val="20"/>
          <w:szCs w:val="20"/>
        </w:rPr>
        <w:t xml:space="preserve">, al fine di fornire allo studente gli </w:t>
      </w:r>
      <w:r w:rsidR="002159E1" w:rsidRPr="002159E1">
        <w:rPr>
          <w:rFonts w:ascii="Times New Roman" w:eastAsia="Times New Roman" w:hAnsi="Times New Roman" w:cs="Times New Roman"/>
          <w:sz w:val="20"/>
          <w:szCs w:val="20"/>
        </w:rPr>
        <w:t xml:space="preserve">strumenti conoscitivi disponibili per descrivere e comprendere </w:t>
      </w:r>
      <w:r w:rsidR="00EF0A36">
        <w:rPr>
          <w:rFonts w:ascii="Times New Roman" w:eastAsia="Times New Roman" w:hAnsi="Times New Roman" w:cs="Times New Roman"/>
          <w:sz w:val="20"/>
          <w:szCs w:val="20"/>
        </w:rPr>
        <w:t xml:space="preserve">le </w:t>
      </w:r>
      <w:r w:rsidR="002159E1" w:rsidRPr="002159E1">
        <w:rPr>
          <w:rFonts w:ascii="Times New Roman" w:eastAsia="Times New Roman" w:hAnsi="Times New Roman" w:cs="Times New Roman"/>
          <w:sz w:val="20"/>
          <w:szCs w:val="20"/>
        </w:rPr>
        <w:t>forme diverse di criminalità e devianza</w:t>
      </w:r>
      <w:r w:rsidR="00EF0A36">
        <w:rPr>
          <w:rFonts w:ascii="Times New Roman" w:eastAsia="Times New Roman" w:hAnsi="Times New Roman" w:cs="Times New Roman"/>
          <w:sz w:val="20"/>
          <w:szCs w:val="20"/>
        </w:rPr>
        <w:t xml:space="preserve"> (sotto il profilo sia quantitativo sia qualitativo).</w:t>
      </w:r>
      <w:r w:rsidR="002159E1" w:rsidRPr="002159E1">
        <w:rPr>
          <w:rFonts w:ascii="Times New Roman" w:eastAsia="Times New Roman" w:hAnsi="Times New Roman" w:cs="Times New Roman"/>
          <w:sz w:val="20"/>
          <w:szCs w:val="20"/>
        </w:rPr>
        <w:t xml:space="preserve"> </w:t>
      </w:r>
      <w:r w:rsidR="00EF0A36">
        <w:rPr>
          <w:rFonts w:ascii="Times New Roman" w:eastAsia="Times New Roman" w:hAnsi="Times New Roman" w:cs="Times New Roman"/>
          <w:sz w:val="20"/>
          <w:szCs w:val="20"/>
        </w:rPr>
        <w:t xml:space="preserve">Particolare attenzione sarà inoltre dedicata alle </w:t>
      </w:r>
      <w:r w:rsidR="00EF0A36" w:rsidRPr="002159E1">
        <w:rPr>
          <w:rFonts w:ascii="Times New Roman" w:eastAsia="Times New Roman" w:hAnsi="Times New Roman" w:cs="Times New Roman"/>
          <w:sz w:val="20"/>
          <w:szCs w:val="20"/>
        </w:rPr>
        <w:t xml:space="preserve">politiche di controllo (prevenzione, contenimento, </w:t>
      </w:r>
      <w:r w:rsidR="00EF0A36">
        <w:rPr>
          <w:rFonts w:ascii="Times New Roman" w:eastAsia="Times New Roman" w:hAnsi="Times New Roman" w:cs="Times New Roman"/>
          <w:sz w:val="20"/>
          <w:szCs w:val="20"/>
        </w:rPr>
        <w:t xml:space="preserve">rieducazione, </w:t>
      </w:r>
      <w:r w:rsidR="00EF0A36" w:rsidRPr="002159E1">
        <w:rPr>
          <w:rFonts w:ascii="Times New Roman" w:eastAsia="Times New Roman" w:hAnsi="Times New Roman" w:cs="Times New Roman"/>
          <w:sz w:val="20"/>
          <w:szCs w:val="20"/>
        </w:rPr>
        <w:t>repressione, trattamento).</w:t>
      </w:r>
    </w:p>
    <w:p w14:paraId="4384FEC7" w14:textId="2196CF75" w:rsidR="009E3892" w:rsidRDefault="00EF0A36" w:rsidP="00520924">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Infine, s</w:t>
      </w:r>
      <w:r w:rsidR="009E3892">
        <w:rPr>
          <w:rFonts w:ascii="Times New Roman" w:eastAsia="Times New Roman" w:hAnsi="Times New Roman" w:cs="Times New Roman"/>
          <w:sz w:val="20"/>
          <w:szCs w:val="20"/>
        </w:rPr>
        <w:t>aranno sviluppati due approfondimenti tematici specifici: il primo sul ruolo del teatro come strumento di rieducazione</w:t>
      </w:r>
      <w:r w:rsidR="00AC49B2">
        <w:rPr>
          <w:rFonts w:ascii="Times New Roman" w:eastAsia="Times New Roman" w:hAnsi="Times New Roman" w:cs="Times New Roman"/>
          <w:sz w:val="20"/>
          <w:szCs w:val="20"/>
        </w:rPr>
        <w:t xml:space="preserve">, il secondo sulle gang giovanili. </w:t>
      </w:r>
    </w:p>
    <w:p w14:paraId="5A3CA33B" w14:textId="7A7CB645" w:rsidR="00520924" w:rsidRPr="00520924" w:rsidRDefault="00520924" w:rsidP="002159E1">
      <w:pPr>
        <w:tabs>
          <w:tab w:val="left" w:pos="284"/>
        </w:tabs>
        <w:spacing w:after="0" w:line="240" w:lineRule="auto"/>
        <w:jc w:val="both"/>
        <w:rPr>
          <w:rFonts w:ascii="Times New Roman" w:eastAsia="Times New Roman" w:hAnsi="Times New Roman" w:cs="Times New Roman"/>
          <w:sz w:val="20"/>
          <w:szCs w:val="20"/>
        </w:rPr>
      </w:pPr>
      <w:r w:rsidRPr="00520924">
        <w:rPr>
          <w:rFonts w:ascii="Times New Roman" w:eastAsia="Times New Roman" w:hAnsi="Times New Roman" w:cs="Times New Roman"/>
          <w:sz w:val="20"/>
          <w:szCs w:val="20"/>
        </w:rPr>
        <w:t>Al termine del corso, lo studente sarà in grado di:</w:t>
      </w:r>
    </w:p>
    <w:p w14:paraId="25D3B1C4" w14:textId="40F01815" w:rsidR="002159E1" w:rsidRPr="002159E1" w:rsidRDefault="002159E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rPr>
      </w:pPr>
      <w:r w:rsidRPr="002159E1">
        <w:rPr>
          <w:rFonts w:ascii="Times New Roman" w:eastAsia="Times New Roman" w:hAnsi="Times New Roman" w:cs="Times New Roman"/>
          <w:sz w:val="20"/>
          <w:szCs w:val="20"/>
        </w:rPr>
        <w:t xml:space="preserve">conoscere i </w:t>
      </w:r>
      <w:proofErr w:type="gramStart"/>
      <w:r w:rsidRPr="002159E1">
        <w:rPr>
          <w:rFonts w:ascii="Times New Roman" w:eastAsia="Times New Roman" w:hAnsi="Times New Roman" w:cs="Times New Roman"/>
          <w:sz w:val="20"/>
          <w:szCs w:val="20"/>
        </w:rPr>
        <w:t>fondamenti  e</w:t>
      </w:r>
      <w:proofErr w:type="gramEnd"/>
      <w:r w:rsidRPr="002159E1">
        <w:rPr>
          <w:rFonts w:ascii="Times New Roman" w:eastAsia="Times New Roman" w:hAnsi="Times New Roman" w:cs="Times New Roman"/>
          <w:sz w:val="20"/>
          <w:szCs w:val="20"/>
        </w:rPr>
        <w:t xml:space="preserve"> le principali correnti della sociologia</w:t>
      </w:r>
      <w:r>
        <w:rPr>
          <w:rFonts w:ascii="Times New Roman" w:eastAsia="Times New Roman" w:hAnsi="Times New Roman" w:cs="Times New Roman"/>
          <w:sz w:val="20"/>
          <w:szCs w:val="20"/>
        </w:rPr>
        <w:t xml:space="preserve"> della devianza</w:t>
      </w:r>
      <w:r w:rsidRPr="002159E1">
        <w:rPr>
          <w:rFonts w:ascii="Times New Roman" w:eastAsia="Times New Roman" w:hAnsi="Times New Roman" w:cs="Times New Roman"/>
          <w:sz w:val="20"/>
          <w:szCs w:val="20"/>
        </w:rPr>
        <w:t xml:space="preserve">; </w:t>
      </w:r>
    </w:p>
    <w:p w14:paraId="45577A0E" w14:textId="7267A630" w:rsidR="002159E1" w:rsidRPr="002159E1" w:rsidRDefault="002159E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rPr>
      </w:pPr>
      <w:r w:rsidRPr="002159E1">
        <w:rPr>
          <w:rFonts w:ascii="Times New Roman" w:eastAsia="Times New Roman" w:hAnsi="Times New Roman" w:cs="Times New Roman"/>
          <w:sz w:val="20"/>
          <w:szCs w:val="20"/>
        </w:rPr>
        <w:t xml:space="preserve">riflettere sulle principali categorie concettuali proprie </w:t>
      </w:r>
      <w:r>
        <w:rPr>
          <w:rFonts w:ascii="Times New Roman" w:eastAsia="Times New Roman" w:hAnsi="Times New Roman" w:cs="Times New Roman"/>
          <w:sz w:val="20"/>
          <w:szCs w:val="20"/>
        </w:rPr>
        <w:t>della disciplina</w:t>
      </w:r>
      <w:r w:rsidRPr="002159E1">
        <w:rPr>
          <w:rFonts w:ascii="Times New Roman" w:eastAsia="Times New Roman" w:hAnsi="Times New Roman" w:cs="Times New Roman"/>
          <w:sz w:val="20"/>
          <w:szCs w:val="20"/>
        </w:rPr>
        <w:t>;</w:t>
      </w:r>
    </w:p>
    <w:p w14:paraId="47F23A5C" w14:textId="25655938" w:rsidR="002159E1" w:rsidRPr="002159E1" w:rsidRDefault="002159E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rPr>
      </w:pPr>
      <w:r w:rsidRPr="002159E1">
        <w:rPr>
          <w:rFonts w:ascii="Times New Roman" w:eastAsia="Times New Roman" w:hAnsi="Times New Roman" w:cs="Times New Roman"/>
          <w:sz w:val="20"/>
          <w:szCs w:val="20"/>
        </w:rPr>
        <w:t xml:space="preserve">leggere criticamente le dinamiche sociali, con uno sguardo attento alla lettura dei fenomeni </w:t>
      </w:r>
      <w:r>
        <w:rPr>
          <w:rFonts w:ascii="Times New Roman" w:eastAsia="Times New Roman" w:hAnsi="Times New Roman" w:cs="Times New Roman"/>
          <w:sz w:val="20"/>
          <w:szCs w:val="20"/>
        </w:rPr>
        <w:t xml:space="preserve">devianti </w:t>
      </w:r>
      <w:r w:rsidRPr="002159E1">
        <w:rPr>
          <w:rFonts w:ascii="Times New Roman" w:eastAsia="Times New Roman" w:hAnsi="Times New Roman" w:cs="Times New Roman"/>
          <w:sz w:val="20"/>
          <w:szCs w:val="20"/>
        </w:rPr>
        <w:t>contemporanei;</w:t>
      </w:r>
    </w:p>
    <w:p w14:paraId="32B5BC01" w14:textId="585AA76D" w:rsidR="002159E1" w:rsidRPr="002159E1" w:rsidRDefault="002159E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rPr>
      </w:pPr>
      <w:r w:rsidRPr="002159E1">
        <w:rPr>
          <w:rFonts w:ascii="Times New Roman" w:eastAsia="Times New Roman" w:hAnsi="Times New Roman" w:cs="Times New Roman"/>
          <w:sz w:val="20"/>
          <w:szCs w:val="20"/>
        </w:rPr>
        <w:t xml:space="preserve">conoscere gli strumenti </w:t>
      </w:r>
      <w:r>
        <w:rPr>
          <w:rFonts w:ascii="Times New Roman" w:eastAsia="Times New Roman" w:hAnsi="Times New Roman" w:cs="Times New Roman"/>
          <w:sz w:val="20"/>
          <w:szCs w:val="20"/>
        </w:rPr>
        <w:t>di controllo sociale</w:t>
      </w:r>
      <w:r w:rsidRPr="002159E1">
        <w:rPr>
          <w:rFonts w:ascii="Times New Roman" w:eastAsia="Times New Roman" w:hAnsi="Times New Roman" w:cs="Times New Roman"/>
          <w:sz w:val="20"/>
          <w:szCs w:val="20"/>
        </w:rPr>
        <w:t>;</w:t>
      </w:r>
    </w:p>
    <w:p w14:paraId="645B0812" w14:textId="16D9D34F" w:rsidR="002159E1" w:rsidRPr="002159E1" w:rsidRDefault="002159E1" w:rsidP="002159E1">
      <w:pPr>
        <w:pStyle w:val="Paragrafoelenco"/>
        <w:numPr>
          <w:ilvl w:val="0"/>
          <w:numId w:val="5"/>
        </w:numPr>
        <w:spacing w:after="0" w:line="240" w:lineRule="auto"/>
        <w:ind w:left="284" w:hanging="284"/>
        <w:jc w:val="both"/>
        <w:rPr>
          <w:rFonts w:ascii="Times New Roman" w:eastAsia="Times New Roman" w:hAnsi="Times New Roman" w:cs="Times New Roman"/>
          <w:sz w:val="20"/>
          <w:szCs w:val="20"/>
        </w:rPr>
      </w:pPr>
      <w:r w:rsidRPr="002159E1">
        <w:rPr>
          <w:rFonts w:ascii="Times New Roman" w:eastAsia="Times New Roman" w:hAnsi="Times New Roman" w:cs="Times New Roman"/>
          <w:sz w:val="20"/>
          <w:szCs w:val="20"/>
        </w:rPr>
        <w:t>valorizzare</w:t>
      </w:r>
      <w:r>
        <w:rPr>
          <w:rFonts w:ascii="Times New Roman" w:eastAsia="Times New Roman" w:hAnsi="Times New Roman" w:cs="Times New Roman"/>
          <w:sz w:val="20"/>
          <w:szCs w:val="20"/>
        </w:rPr>
        <w:t>,</w:t>
      </w:r>
      <w:r w:rsidRPr="002159E1">
        <w:rPr>
          <w:rFonts w:ascii="Times New Roman" w:eastAsia="Times New Roman" w:hAnsi="Times New Roman" w:cs="Times New Roman"/>
          <w:sz w:val="20"/>
          <w:szCs w:val="20"/>
        </w:rPr>
        <w:t xml:space="preserve"> nella costruzione degli interventi educativi</w:t>
      </w:r>
      <w:r>
        <w:rPr>
          <w:rFonts w:ascii="Times New Roman" w:eastAsia="Times New Roman" w:hAnsi="Times New Roman" w:cs="Times New Roman"/>
          <w:sz w:val="20"/>
          <w:szCs w:val="20"/>
        </w:rPr>
        <w:t>,</w:t>
      </w:r>
      <w:r w:rsidRPr="002159E1">
        <w:rPr>
          <w:rFonts w:ascii="Times New Roman" w:eastAsia="Times New Roman" w:hAnsi="Times New Roman" w:cs="Times New Roman"/>
          <w:sz w:val="20"/>
          <w:szCs w:val="20"/>
        </w:rPr>
        <w:t xml:space="preserve"> gli strumenti e i risultati messi a disposizione dalla </w:t>
      </w:r>
      <w:r w:rsidR="00EF0A36">
        <w:rPr>
          <w:rFonts w:ascii="Times New Roman" w:eastAsia="Times New Roman" w:hAnsi="Times New Roman" w:cs="Times New Roman"/>
          <w:sz w:val="20"/>
          <w:szCs w:val="20"/>
        </w:rPr>
        <w:t>bibliografia suggerita</w:t>
      </w:r>
      <w:r w:rsidR="009E3892">
        <w:rPr>
          <w:rFonts w:ascii="Times New Roman" w:eastAsia="Times New Roman" w:hAnsi="Times New Roman" w:cs="Times New Roman"/>
          <w:sz w:val="20"/>
          <w:szCs w:val="20"/>
        </w:rPr>
        <w:t>.</w:t>
      </w:r>
    </w:p>
    <w:p w14:paraId="7DE20987" w14:textId="25836F37" w:rsidR="00520924" w:rsidRPr="00520924" w:rsidRDefault="00520924" w:rsidP="00D30C70">
      <w:pPr>
        <w:tabs>
          <w:tab w:val="left" w:pos="284"/>
        </w:tabs>
        <w:spacing w:before="240" w:after="120" w:line="240" w:lineRule="auto"/>
        <w:jc w:val="both"/>
        <w:rPr>
          <w:rFonts w:ascii="Times New Roman" w:eastAsia="Times New Roman" w:hAnsi="Times New Roman" w:cs="Times New Roman"/>
          <w:b/>
          <w:sz w:val="18"/>
        </w:rPr>
      </w:pPr>
      <w:r w:rsidRPr="00520924">
        <w:rPr>
          <w:rFonts w:ascii="Times New Roman" w:eastAsia="Times New Roman" w:hAnsi="Times New Roman" w:cs="Times New Roman"/>
          <w:b/>
          <w:i/>
          <w:sz w:val="18"/>
        </w:rPr>
        <w:t>PROGRAMMA DEL CORSO</w:t>
      </w:r>
    </w:p>
    <w:p w14:paraId="230EDDD6" w14:textId="77777777" w:rsidR="00520924" w:rsidRPr="00520924" w:rsidRDefault="00520924" w:rsidP="00520924">
      <w:pPr>
        <w:tabs>
          <w:tab w:val="left" w:pos="284"/>
        </w:tabs>
        <w:spacing w:after="0" w:line="240" w:lineRule="auto"/>
        <w:ind w:left="284" w:hanging="284"/>
        <w:jc w:val="both"/>
        <w:rPr>
          <w:rFonts w:ascii="Times New Roman" w:eastAsia="Times New Roman" w:hAnsi="Times New Roman" w:cs="Times New Roman"/>
          <w:i/>
          <w:sz w:val="20"/>
          <w:szCs w:val="20"/>
        </w:rPr>
      </w:pPr>
      <w:r w:rsidRPr="00520924">
        <w:rPr>
          <w:rFonts w:ascii="Times New Roman" w:eastAsia="Times New Roman" w:hAnsi="Times New Roman" w:cs="Times New Roman"/>
          <w:sz w:val="20"/>
          <w:szCs w:val="20"/>
        </w:rPr>
        <w:t>1.</w:t>
      </w:r>
      <w:r w:rsidRPr="00520924">
        <w:rPr>
          <w:rFonts w:ascii="Times New Roman" w:eastAsia="Times New Roman" w:hAnsi="Times New Roman" w:cs="Times New Roman"/>
          <w:sz w:val="20"/>
          <w:szCs w:val="20"/>
        </w:rPr>
        <w:tab/>
      </w:r>
      <w:r w:rsidRPr="00520924">
        <w:rPr>
          <w:rFonts w:ascii="Times New Roman" w:eastAsia="Times New Roman" w:hAnsi="Times New Roman" w:cs="Times New Roman"/>
          <w:i/>
          <w:sz w:val="20"/>
          <w:szCs w:val="20"/>
        </w:rPr>
        <w:t>I percorsi teorici;</w:t>
      </w:r>
    </w:p>
    <w:p w14:paraId="0C611BEF" w14:textId="77777777" w:rsidR="00520924" w:rsidRPr="00520924" w:rsidRDefault="00520924" w:rsidP="00520924">
      <w:pPr>
        <w:tabs>
          <w:tab w:val="left" w:pos="284"/>
        </w:tabs>
        <w:spacing w:after="0" w:line="240" w:lineRule="auto"/>
        <w:ind w:left="284" w:hanging="284"/>
        <w:jc w:val="both"/>
        <w:rPr>
          <w:rFonts w:ascii="Times New Roman" w:eastAsia="Times New Roman" w:hAnsi="Times New Roman" w:cs="Times New Roman"/>
          <w:sz w:val="20"/>
          <w:szCs w:val="20"/>
        </w:rPr>
      </w:pPr>
      <w:r w:rsidRPr="00520924">
        <w:rPr>
          <w:rFonts w:ascii="Times New Roman" w:eastAsia="Times New Roman" w:hAnsi="Times New Roman" w:cs="Times New Roman"/>
          <w:sz w:val="20"/>
          <w:szCs w:val="20"/>
        </w:rPr>
        <w:t>–</w:t>
      </w:r>
      <w:r w:rsidRPr="00520924">
        <w:rPr>
          <w:rFonts w:ascii="Times New Roman" w:eastAsia="Times New Roman" w:hAnsi="Times New Roman" w:cs="Times New Roman"/>
          <w:sz w:val="20"/>
          <w:szCs w:val="20"/>
        </w:rPr>
        <w:tab/>
        <w:t>Le origini: I punti chiave della Scuola Classica e del Positivismo,</w:t>
      </w:r>
    </w:p>
    <w:p w14:paraId="0479545A" w14:textId="77777777" w:rsidR="00520924" w:rsidRPr="00520924" w:rsidRDefault="00520924" w:rsidP="00520924">
      <w:pPr>
        <w:tabs>
          <w:tab w:val="left" w:pos="284"/>
        </w:tabs>
        <w:spacing w:after="0" w:line="240" w:lineRule="auto"/>
        <w:ind w:left="284" w:hanging="284"/>
        <w:jc w:val="both"/>
        <w:rPr>
          <w:rFonts w:ascii="Times New Roman" w:eastAsia="Times New Roman" w:hAnsi="Times New Roman" w:cs="Times New Roman"/>
          <w:sz w:val="20"/>
          <w:szCs w:val="20"/>
        </w:rPr>
      </w:pPr>
      <w:r w:rsidRPr="00520924">
        <w:rPr>
          <w:rFonts w:ascii="Times New Roman" w:eastAsia="Times New Roman" w:hAnsi="Times New Roman" w:cs="Times New Roman"/>
          <w:sz w:val="20"/>
          <w:szCs w:val="20"/>
        </w:rPr>
        <w:t>–</w:t>
      </w:r>
      <w:r w:rsidRPr="00520924">
        <w:rPr>
          <w:rFonts w:ascii="Times New Roman" w:eastAsia="Times New Roman" w:hAnsi="Times New Roman" w:cs="Times New Roman"/>
          <w:sz w:val="20"/>
          <w:szCs w:val="20"/>
        </w:rPr>
        <w:tab/>
        <w:t>La prima metà del Novecento: Dalla Scuola di Chicago all’approccio funzionalista.</w:t>
      </w:r>
    </w:p>
    <w:p w14:paraId="3DA5C0D6" w14:textId="77777777" w:rsidR="00520924" w:rsidRPr="00520924" w:rsidRDefault="00520924" w:rsidP="00520924">
      <w:pPr>
        <w:numPr>
          <w:ilvl w:val="0"/>
          <w:numId w:val="2"/>
        </w:numPr>
        <w:tabs>
          <w:tab w:val="left" w:pos="284"/>
        </w:tabs>
        <w:spacing w:after="0" w:line="240" w:lineRule="auto"/>
        <w:ind w:left="426" w:hanging="360"/>
        <w:jc w:val="both"/>
        <w:rPr>
          <w:rFonts w:ascii="Times New Roman" w:eastAsia="Times" w:hAnsi="Times New Roman" w:cs="Times New Roman"/>
          <w:sz w:val="20"/>
          <w:szCs w:val="20"/>
        </w:rPr>
      </w:pPr>
      <w:r w:rsidRPr="00520924">
        <w:rPr>
          <w:rFonts w:ascii="Times New Roman" w:eastAsia="Times" w:hAnsi="Times New Roman" w:cs="Times New Roman"/>
          <w:sz w:val="20"/>
          <w:szCs w:val="20"/>
        </w:rPr>
        <w:t xml:space="preserve">Gli Anni Sessanta: Le subculture devianti e la </w:t>
      </w:r>
      <w:r w:rsidRPr="00520924">
        <w:rPr>
          <w:rFonts w:ascii="Times New Roman" w:eastAsia="Times" w:hAnsi="Times New Roman" w:cs="Times New Roman"/>
          <w:i/>
          <w:sz w:val="20"/>
          <w:szCs w:val="20"/>
        </w:rPr>
        <w:t>“</w:t>
      </w:r>
      <w:proofErr w:type="spellStart"/>
      <w:r w:rsidRPr="00520924">
        <w:rPr>
          <w:rFonts w:ascii="Times New Roman" w:eastAsia="Times" w:hAnsi="Times New Roman" w:cs="Times New Roman"/>
          <w:i/>
          <w:sz w:val="20"/>
          <w:szCs w:val="20"/>
        </w:rPr>
        <w:t>Labelling</w:t>
      </w:r>
      <w:proofErr w:type="spellEnd"/>
      <w:r w:rsidRPr="00520924">
        <w:rPr>
          <w:rFonts w:ascii="Times New Roman" w:eastAsia="Times" w:hAnsi="Times New Roman" w:cs="Times New Roman"/>
          <w:i/>
          <w:sz w:val="20"/>
          <w:szCs w:val="20"/>
        </w:rPr>
        <w:t xml:space="preserve"> theory”</w:t>
      </w:r>
      <w:r w:rsidRPr="00520924">
        <w:rPr>
          <w:rFonts w:ascii="Times New Roman" w:eastAsia="Times" w:hAnsi="Times New Roman" w:cs="Times New Roman"/>
          <w:sz w:val="20"/>
          <w:szCs w:val="20"/>
        </w:rPr>
        <w:t>.</w:t>
      </w:r>
    </w:p>
    <w:p w14:paraId="1AE397CD" w14:textId="3EAF1DF2" w:rsidR="00520924" w:rsidRPr="00520924" w:rsidRDefault="00520924" w:rsidP="00520924">
      <w:pPr>
        <w:numPr>
          <w:ilvl w:val="0"/>
          <w:numId w:val="2"/>
        </w:numPr>
        <w:tabs>
          <w:tab w:val="left" w:pos="284"/>
        </w:tabs>
        <w:spacing w:after="0" w:line="240" w:lineRule="auto"/>
        <w:ind w:left="284" w:hanging="218"/>
        <w:jc w:val="both"/>
        <w:rPr>
          <w:rFonts w:ascii="Times New Roman" w:eastAsia="Times" w:hAnsi="Times New Roman" w:cs="Times New Roman"/>
          <w:sz w:val="20"/>
          <w:szCs w:val="20"/>
        </w:rPr>
      </w:pPr>
      <w:r w:rsidRPr="00520924">
        <w:rPr>
          <w:rFonts w:ascii="Times New Roman" w:eastAsia="Times" w:hAnsi="Times New Roman" w:cs="Times New Roman"/>
          <w:sz w:val="20"/>
          <w:szCs w:val="20"/>
        </w:rPr>
        <w:t>Dagli Anni Settanta a fine Novecento: Le teorie “critiche”</w:t>
      </w:r>
      <w:r w:rsidR="0095447E">
        <w:rPr>
          <w:rFonts w:ascii="Times New Roman" w:eastAsia="Times" w:hAnsi="Times New Roman" w:cs="Times New Roman"/>
          <w:sz w:val="20"/>
          <w:szCs w:val="20"/>
        </w:rPr>
        <w:t>,</w:t>
      </w:r>
      <w:r w:rsidRPr="00520924">
        <w:rPr>
          <w:rFonts w:ascii="Times New Roman" w:eastAsia="Times" w:hAnsi="Times New Roman" w:cs="Times New Roman"/>
          <w:sz w:val="20"/>
          <w:szCs w:val="20"/>
        </w:rPr>
        <w:t xml:space="preserve"> del controllo sociale   </w:t>
      </w:r>
      <w:r w:rsidR="0095447E">
        <w:rPr>
          <w:rFonts w:ascii="Times New Roman" w:eastAsia="Times" w:hAnsi="Times New Roman" w:cs="Times New Roman"/>
          <w:sz w:val="20"/>
          <w:szCs w:val="20"/>
        </w:rPr>
        <w:t xml:space="preserve">e dell’apprendimento sociale </w:t>
      </w:r>
    </w:p>
    <w:p w14:paraId="284366F2" w14:textId="77777777" w:rsidR="00520924" w:rsidRPr="00520924" w:rsidRDefault="00520924" w:rsidP="00520924">
      <w:pPr>
        <w:numPr>
          <w:ilvl w:val="0"/>
          <w:numId w:val="2"/>
        </w:numPr>
        <w:tabs>
          <w:tab w:val="left" w:pos="284"/>
        </w:tabs>
        <w:spacing w:after="0" w:line="240" w:lineRule="auto"/>
        <w:ind w:left="284" w:hanging="284"/>
        <w:jc w:val="both"/>
        <w:rPr>
          <w:rFonts w:ascii="Times New Roman" w:eastAsia="Times" w:hAnsi="Times New Roman" w:cs="Times New Roman"/>
          <w:i/>
          <w:sz w:val="20"/>
          <w:szCs w:val="20"/>
        </w:rPr>
      </w:pPr>
      <w:r w:rsidRPr="00520924">
        <w:rPr>
          <w:rFonts w:ascii="Times New Roman" w:eastAsia="Times" w:hAnsi="Times New Roman" w:cs="Times New Roman"/>
          <w:sz w:val="20"/>
          <w:szCs w:val="20"/>
        </w:rPr>
        <w:t xml:space="preserve">Il Duemila: La rivisitazione attuale di approcci diversi </w:t>
      </w:r>
    </w:p>
    <w:p w14:paraId="3CD112BA" w14:textId="2EC34214" w:rsidR="00520924" w:rsidRPr="00520924" w:rsidRDefault="00520924" w:rsidP="00520924">
      <w:pPr>
        <w:tabs>
          <w:tab w:val="left" w:pos="284"/>
        </w:tabs>
        <w:spacing w:before="120" w:after="0" w:line="240" w:lineRule="auto"/>
        <w:jc w:val="both"/>
        <w:rPr>
          <w:rFonts w:ascii="Times New Roman" w:eastAsia="Times New Roman" w:hAnsi="Times New Roman" w:cs="Times New Roman"/>
          <w:i/>
          <w:sz w:val="20"/>
          <w:szCs w:val="20"/>
        </w:rPr>
      </w:pPr>
      <w:r w:rsidRPr="00520924">
        <w:rPr>
          <w:rFonts w:ascii="Times New Roman" w:eastAsia="Times New Roman" w:hAnsi="Times New Roman" w:cs="Times New Roman"/>
          <w:sz w:val="20"/>
          <w:szCs w:val="20"/>
        </w:rPr>
        <w:t>2.</w:t>
      </w:r>
      <w:r w:rsidRPr="00520924">
        <w:rPr>
          <w:rFonts w:ascii="Times New Roman" w:eastAsia="Times New Roman" w:hAnsi="Times New Roman" w:cs="Times New Roman"/>
          <w:sz w:val="20"/>
          <w:szCs w:val="20"/>
        </w:rPr>
        <w:tab/>
      </w:r>
      <w:r w:rsidR="009E3892">
        <w:rPr>
          <w:rFonts w:ascii="Times New Roman" w:eastAsia="Times New Roman" w:hAnsi="Times New Roman" w:cs="Times New Roman"/>
          <w:i/>
          <w:sz w:val="20"/>
          <w:szCs w:val="20"/>
        </w:rPr>
        <w:t xml:space="preserve">Percorsi tematici </w:t>
      </w:r>
    </w:p>
    <w:p w14:paraId="3BC847FB" w14:textId="293C6641" w:rsidR="00520924" w:rsidRPr="00AC49B2" w:rsidRDefault="0095447E" w:rsidP="00AC49B2">
      <w:pPr>
        <w:numPr>
          <w:ilvl w:val="0"/>
          <w:numId w:val="2"/>
        </w:numPr>
        <w:tabs>
          <w:tab w:val="left" w:pos="284"/>
        </w:tabs>
        <w:spacing w:after="0" w:line="240" w:lineRule="auto"/>
        <w:ind w:left="284" w:hanging="218"/>
        <w:jc w:val="both"/>
        <w:rPr>
          <w:rFonts w:ascii="Times New Roman" w:eastAsia="Times" w:hAnsi="Times New Roman" w:cs="Times New Roman"/>
          <w:sz w:val="20"/>
          <w:szCs w:val="20"/>
        </w:rPr>
      </w:pPr>
      <w:r w:rsidRPr="00AC49B2">
        <w:rPr>
          <w:rFonts w:ascii="Times New Roman" w:eastAsia="Times" w:hAnsi="Times New Roman" w:cs="Times New Roman"/>
          <w:sz w:val="20"/>
          <w:szCs w:val="20"/>
        </w:rPr>
        <w:t xml:space="preserve">Carcere e rieducazione </w:t>
      </w:r>
      <w:r w:rsidR="00EF0A36">
        <w:rPr>
          <w:rFonts w:ascii="Times New Roman" w:eastAsia="Times" w:hAnsi="Times New Roman" w:cs="Times New Roman"/>
          <w:sz w:val="20"/>
          <w:szCs w:val="20"/>
        </w:rPr>
        <w:t>attraverso il teatro</w:t>
      </w:r>
    </w:p>
    <w:p w14:paraId="2ABDCAB2" w14:textId="3DC38713" w:rsidR="009E3892" w:rsidRDefault="00AC49B2" w:rsidP="00AC49B2">
      <w:pPr>
        <w:numPr>
          <w:ilvl w:val="0"/>
          <w:numId w:val="2"/>
        </w:numPr>
        <w:tabs>
          <w:tab w:val="left" w:pos="284"/>
        </w:tabs>
        <w:spacing w:after="0" w:line="240" w:lineRule="auto"/>
        <w:ind w:left="284" w:hanging="218"/>
        <w:jc w:val="both"/>
        <w:rPr>
          <w:rFonts w:ascii="Times New Roman" w:eastAsia="Times" w:hAnsi="Times New Roman" w:cs="Times New Roman"/>
          <w:sz w:val="20"/>
          <w:szCs w:val="20"/>
        </w:rPr>
      </w:pPr>
      <w:r w:rsidRPr="00AC49B2">
        <w:rPr>
          <w:rFonts w:ascii="Times New Roman" w:eastAsia="Times" w:hAnsi="Times New Roman" w:cs="Times New Roman"/>
          <w:sz w:val="20"/>
          <w:szCs w:val="20"/>
        </w:rPr>
        <w:t>Le gang giovanili</w:t>
      </w:r>
    </w:p>
    <w:p w14:paraId="0C43E78B" w14:textId="64F0DC06" w:rsidR="00B47844" w:rsidRDefault="00B47844" w:rsidP="00B47844">
      <w:pPr>
        <w:tabs>
          <w:tab w:val="left" w:pos="284"/>
        </w:tabs>
        <w:spacing w:before="240" w:after="120" w:line="240" w:lineRule="auto"/>
        <w:jc w:val="both"/>
        <w:rPr>
          <w:rFonts w:ascii="Times New Roman" w:eastAsia="Times New Roman" w:hAnsi="Times New Roman" w:cs="Times New Roman"/>
          <w:b/>
          <w:i/>
          <w:sz w:val="18"/>
        </w:rPr>
      </w:pPr>
      <w:r>
        <w:rPr>
          <w:rFonts w:ascii="Times New Roman" w:eastAsia="Times New Roman" w:hAnsi="Times New Roman" w:cs="Times New Roman"/>
          <w:b/>
          <w:i/>
          <w:sz w:val="18"/>
        </w:rPr>
        <w:lastRenderedPageBreak/>
        <w:t>BIBLIOGRAFIA</w:t>
      </w:r>
      <w:r w:rsidR="0028303B">
        <w:rPr>
          <w:rStyle w:val="Rimandonotaapidipagina"/>
          <w:rFonts w:ascii="Times New Roman" w:eastAsia="Times New Roman" w:hAnsi="Times New Roman" w:cs="Times New Roman"/>
          <w:b/>
          <w:i/>
          <w:sz w:val="18"/>
        </w:rPr>
        <w:footnoteReference w:id="1"/>
      </w:r>
    </w:p>
    <w:p w14:paraId="040B5769" w14:textId="00B9FB94" w:rsidR="00B47844" w:rsidRPr="0028303B" w:rsidRDefault="00B47844" w:rsidP="0028303B">
      <w:pPr>
        <w:spacing w:after="0" w:line="240" w:lineRule="auto"/>
        <w:rPr>
          <w:rFonts w:ascii="Times New Roman" w:hAnsi="Times New Roman" w:cs="Times New Roman"/>
          <w:i/>
          <w:color w:val="0070C0"/>
          <w:sz w:val="18"/>
          <w:szCs w:val="18"/>
        </w:rPr>
      </w:pPr>
      <w:r w:rsidRPr="00AC49B2">
        <w:rPr>
          <w:rFonts w:ascii="Times" w:eastAsia="Times" w:hAnsi="Times" w:cs="Times"/>
          <w:spacing w:val="-5"/>
          <w:sz w:val="18"/>
          <w:szCs w:val="18"/>
        </w:rPr>
        <w:t>F. P. WILLIAMS,</w:t>
      </w:r>
      <w:r w:rsidRPr="00AC49B2">
        <w:rPr>
          <w:rFonts w:ascii="Times" w:eastAsia="Times" w:hAnsi="Times" w:cs="Times"/>
          <w:i/>
          <w:spacing w:val="-5"/>
          <w:sz w:val="18"/>
          <w:szCs w:val="18"/>
        </w:rPr>
        <w:t xml:space="preserve"> Devianza e criminalità</w:t>
      </w:r>
      <w:r w:rsidRPr="00AC49B2">
        <w:rPr>
          <w:rFonts w:ascii="Times" w:eastAsia="Times" w:hAnsi="Times" w:cs="Times"/>
          <w:spacing w:val="-5"/>
          <w:sz w:val="18"/>
          <w:szCs w:val="18"/>
        </w:rPr>
        <w:t xml:space="preserve">, Il Mulino, Bologna, 2002. </w:t>
      </w:r>
      <w:bookmarkStart w:id="2" w:name="_Hlk138412979"/>
      <w:r w:rsidR="0028303B">
        <w:rPr>
          <w:rFonts w:ascii="Times New Roman" w:hAnsi="Times New Roman" w:cs="Times New Roman"/>
          <w:i/>
          <w:color w:val="0070C0"/>
          <w:sz w:val="18"/>
          <w:szCs w:val="18"/>
        </w:rPr>
        <w:fldChar w:fldCharType="begin"/>
      </w:r>
      <w:r w:rsidR="0028303B">
        <w:rPr>
          <w:rFonts w:ascii="Times New Roman" w:hAnsi="Times New Roman" w:cs="Times New Roman"/>
          <w:i/>
          <w:color w:val="0070C0"/>
          <w:sz w:val="18"/>
          <w:szCs w:val="18"/>
        </w:rPr>
        <w:instrText xml:space="preserve"> HYPERLINK "https://librerie.unicatt.it/scheda-libro/frank-p-williams-marilyn-d-mcshane/devianza-e-criminalita-9788815088673-242667.html" </w:instrText>
      </w:r>
      <w:r w:rsidR="0028303B">
        <w:rPr>
          <w:rFonts w:ascii="Times New Roman" w:hAnsi="Times New Roman" w:cs="Times New Roman"/>
          <w:i/>
          <w:color w:val="0070C0"/>
          <w:sz w:val="18"/>
          <w:szCs w:val="18"/>
        </w:rPr>
      </w:r>
      <w:r w:rsidR="0028303B">
        <w:rPr>
          <w:rFonts w:ascii="Times New Roman" w:hAnsi="Times New Roman" w:cs="Times New Roman"/>
          <w:i/>
          <w:color w:val="0070C0"/>
          <w:sz w:val="18"/>
          <w:szCs w:val="18"/>
        </w:rPr>
        <w:fldChar w:fldCharType="separate"/>
      </w:r>
      <w:r w:rsidR="0028303B" w:rsidRPr="0028303B">
        <w:rPr>
          <w:rStyle w:val="Collegamentoipertestuale"/>
          <w:rFonts w:ascii="Times New Roman" w:hAnsi="Times New Roman" w:cs="Times New Roman"/>
          <w:i/>
          <w:sz w:val="18"/>
          <w:szCs w:val="18"/>
        </w:rPr>
        <w:t>Acquista da VP</w:t>
      </w:r>
      <w:bookmarkEnd w:id="2"/>
      <w:r w:rsidR="0028303B">
        <w:rPr>
          <w:rFonts w:ascii="Times New Roman" w:hAnsi="Times New Roman" w:cs="Times New Roman"/>
          <w:i/>
          <w:color w:val="0070C0"/>
          <w:sz w:val="18"/>
          <w:szCs w:val="18"/>
        </w:rPr>
        <w:fldChar w:fldCharType="end"/>
      </w:r>
    </w:p>
    <w:p w14:paraId="00FF95C7" w14:textId="5A7282F6" w:rsidR="0095447E" w:rsidRPr="00AC49B2" w:rsidRDefault="0095447E" w:rsidP="0095447E">
      <w:pPr>
        <w:spacing w:after="0" w:line="240" w:lineRule="auto"/>
        <w:ind w:left="284" w:hanging="284"/>
        <w:jc w:val="both"/>
        <w:rPr>
          <w:rFonts w:ascii="Times" w:eastAsia="Times" w:hAnsi="Times" w:cs="Times"/>
          <w:spacing w:val="-5"/>
          <w:sz w:val="18"/>
          <w:szCs w:val="18"/>
        </w:rPr>
      </w:pPr>
      <w:bookmarkStart w:id="3" w:name="_Hlk139382598"/>
      <w:r w:rsidRPr="00AC49B2">
        <w:rPr>
          <w:rFonts w:ascii="Times" w:eastAsia="Times" w:hAnsi="Times" w:cs="Times"/>
          <w:spacing w:val="-5"/>
          <w:sz w:val="18"/>
          <w:szCs w:val="18"/>
        </w:rPr>
        <w:t xml:space="preserve">B. PIZZETTI (2023), </w:t>
      </w:r>
      <w:r w:rsidRPr="00AC49B2">
        <w:rPr>
          <w:rFonts w:ascii="Times" w:eastAsia="Times" w:hAnsi="Times" w:cs="Times"/>
          <w:i/>
          <w:iCs/>
          <w:spacing w:val="-5"/>
          <w:sz w:val="18"/>
          <w:szCs w:val="18"/>
        </w:rPr>
        <w:t>Carcere e rieducazione. Il contributo della pratica teatrale</w:t>
      </w:r>
      <w:r w:rsidRPr="00AC49B2">
        <w:rPr>
          <w:rFonts w:ascii="Times" w:eastAsia="Times" w:hAnsi="Times" w:cs="Times"/>
          <w:spacing w:val="-5"/>
          <w:sz w:val="18"/>
          <w:szCs w:val="18"/>
        </w:rPr>
        <w:t xml:space="preserve">, </w:t>
      </w:r>
      <w:proofErr w:type="spellStart"/>
      <w:r w:rsidRPr="00AC49B2">
        <w:rPr>
          <w:rFonts w:ascii="Times" w:eastAsia="Times" w:hAnsi="Times" w:cs="Times"/>
          <w:spacing w:val="-5"/>
          <w:sz w:val="18"/>
          <w:szCs w:val="18"/>
        </w:rPr>
        <w:t>FrancoAngeli</w:t>
      </w:r>
      <w:proofErr w:type="spellEnd"/>
      <w:r w:rsidRPr="00AC49B2">
        <w:rPr>
          <w:rFonts w:ascii="Times" w:eastAsia="Times" w:hAnsi="Times" w:cs="Times"/>
          <w:spacing w:val="-5"/>
          <w:sz w:val="18"/>
          <w:szCs w:val="18"/>
        </w:rPr>
        <w:t>, Milano.</w:t>
      </w:r>
    </w:p>
    <w:bookmarkEnd w:id="3"/>
    <w:p w14:paraId="7616EAE9" w14:textId="36179F6F" w:rsidR="00AC49B2" w:rsidRPr="0028303B" w:rsidRDefault="00AC49B2" w:rsidP="0028303B">
      <w:pPr>
        <w:spacing w:after="0" w:line="240" w:lineRule="auto"/>
        <w:rPr>
          <w:rFonts w:ascii="Times New Roman" w:hAnsi="Times New Roman" w:cs="Times New Roman"/>
          <w:i/>
          <w:color w:val="0070C0"/>
          <w:sz w:val="18"/>
          <w:szCs w:val="18"/>
        </w:rPr>
      </w:pPr>
      <w:r w:rsidRPr="00AC49B2">
        <w:rPr>
          <w:rFonts w:ascii="Times" w:eastAsia="Times" w:hAnsi="Times" w:cs="Times"/>
          <w:spacing w:val="-5"/>
          <w:sz w:val="18"/>
          <w:szCs w:val="18"/>
        </w:rPr>
        <w:t xml:space="preserve">F. PRINA (2019), </w:t>
      </w:r>
      <w:r w:rsidRPr="00AC49B2">
        <w:rPr>
          <w:rFonts w:ascii="Times" w:eastAsia="Times" w:hAnsi="Times" w:cs="Times"/>
          <w:i/>
          <w:iCs/>
          <w:spacing w:val="-5"/>
          <w:sz w:val="18"/>
          <w:szCs w:val="18"/>
        </w:rPr>
        <w:t>Gang giovanili. Perché nascono, chi ne fa parte, come intervenire</w:t>
      </w:r>
      <w:r w:rsidRPr="00AC49B2">
        <w:rPr>
          <w:rFonts w:ascii="Times" w:eastAsia="Times" w:hAnsi="Times" w:cs="Times"/>
          <w:spacing w:val="-5"/>
          <w:sz w:val="18"/>
          <w:szCs w:val="18"/>
        </w:rPr>
        <w:t xml:space="preserve">, il Mulino, Bologna. </w:t>
      </w:r>
      <w:hyperlink r:id="rId8" w:history="1">
        <w:r w:rsidR="0028303B" w:rsidRPr="0028303B">
          <w:rPr>
            <w:rStyle w:val="Collegamentoipertestuale"/>
            <w:rFonts w:ascii="Times New Roman" w:hAnsi="Times New Roman" w:cs="Times New Roman"/>
            <w:i/>
            <w:sz w:val="18"/>
            <w:szCs w:val="18"/>
          </w:rPr>
          <w:t>Acquista da VP</w:t>
        </w:r>
      </w:hyperlink>
      <w:bookmarkStart w:id="4" w:name="_GoBack"/>
      <w:bookmarkEnd w:id="4"/>
    </w:p>
    <w:p w14:paraId="720380CE" w14:textId="756787FB" w:rsidR="00B47844" w:rsidRDefault="00B47844" w:rsidP="00B47844">
      <w:pPr>
        <w:tabs>
          <w:tab w:val="left" w:pos="284"/>
        </w:tabs>
        <w:spacing w:before="240" w:after="120" w:line="240" w:lineRule="auto"/>
        <w:jc w:val="both"/>
        <w:rPr>
          <w:rFonts w:ascii="Times New Roman" w:eastAsia="Times New Roman" w:hAnsi="Times New Roman" w:cs="Times New Roman"/>
          <w:b/>
          <w:i/>
          <w:sz w:val="18"/>
        </w:rPr>
      </w:pPr>
      <w:r>
        <w:rPr>
          <w:rFonts w:ascii="Times New Roman" w:eastAsia="Times New Roman" w:hAnsi="Times New Roman" w:cs="Times New Roman"/>
          <w:b/>
          <w:i/>
          <w:sz w:val="18"/>
        </w:rPr>
        <w:t>DIDATTICA DEL CORSO</w:t>
      </w:r>
    </w:p>
    <w:p w14:paraId="0B714EC8" w14:textId="77777777" w:rsidR="00B47844" w:rsidRDefault="00B47844" w:rsidP="00B47844">
      <w:pPr>
        <w:tabs>
          <w:tab w:val="left" w:pos="284"/>
        </w:tabs>
        <w:spacing w:after="0" w:line="240" w:lineRule="auto"/>
        <w:ind w:firstLine="284"/>
        <w:jc w:val="both"/>
        <w:rPr>
          <w:rFonts w:ascii="Times" w:eastAsia="Times" w:hAnsi="Times" w:cs="Times"/>
          <w:sz w:val="18"/>
        </w:rPr>
      </w:pPr>
      <w:r>
        <w:rPr>
          <w:rFonts w:ascii="Times" w:eastAsia="Times" w:hAnsi="Times" w:cs="Times"/>
          <w:sz w:val="18"/>
        </w:rPr>
        <w:t xml:space="preserve">Il corso si sviluppa in unità didattiche con materiali di studio che saranno resi disponibili </w:t>
      </w:r>
      <w:r>
        <w:rPr>
          <w:rFonts w:ascii="Times" w:eastAsia="Times" w:hAnsi="Times" w:cs="Times"/>
          <w:i/>
          <w:sz w:val="18"/>
        </w:rPr>
        <w:t>on line</w:t>
      </w:r>
      <w:r>
        <w:rPr>
          <w:rFonts w:ascii="Times" w:eastAsia="Times" w:hAnsi="Times" w:cs="Times"/>
          <w:sz w:val="18"/>
        </w:rPr>
        <w:t xml:space="preserve"> sulla piattaforma </w:t>
      </w:r>
      <w:proofErr w:type="spellStart"/>
      <w:r>
        <w:rPr>
          <w:rFonts w:ascii="Times" w:eastAsia="Times" w:hAnsi="Times" w:cs="Times"/>
          <w:sz w:val="18"/>
        </w:rPr>
        <w:t>Blackboard</w:t>
      </w:r>
      <w:proofErr w:type="spellEnd"/>
      <w:r>
        <w:rPr>
          <w:rFonts w:ascii="Times" w:eastAsia="Times" w:hAnsi="Times" w:cs="Times"/>
          <w:sz w:val="18"/>
        </w:rPr>
        <w:t xml:space="preserve">. Le slides costituiranno, insieme ai saggi obbligatori, parte integrante dei materiali per l’esame. </w:t>
      </w:r>
    </w:p>
    <w:p w14:paraId="14E81085" w14:textId="60AE1720" w:rsidR="00B47844" w:rsidRDefault="00B47844" w:rsidP="00B47844">
      <w:pPr>
        <w:tabs>
          <w:tab w:val="left" w:pos="284"/>
        </w:tabs>
        <w:spacing w:before="240" w:after="120" w:line="240" w:lineRule="auto"/>
        <w:jc w:val="both"/>
        <w:rPr>
          <w:rFonts w:ascii="Times New Roman" w:eastAsia="Times New Roman" w:hAnsi="Times New Roman" w:cs="Times New Roman"/>
          <w:b/>
          <w:i/>
          <w:sz w:val="18"/>
        </w:rPr>
      </w:pPr>
      <w:r>
        <w:rPr>
          <w:rFonts w:ascii="Times New Roman" w:eastAsia="Times New Roman" w:hAnsi="Times New Roman" w:cs="Times New Roman"/>
          <w:b/>
          <w:i/>
          <w:sz w:val="18"/>
        </w:rPr>
        <w:t>METODO E CRITERI DI VALUTAZIONE</w:t>
      </w:r>
    </w:p>
    <w:p w14:paraId="7CAAA511" w14:textId="38B9633E" w:rsidR="00EF0A36" w:rsidRDefault="00EF0A36" w:rsidP="00EF0A36">
      <w:pPr>
        <w:pStyle w:val="Testo2"/>
      </w:pPr>
      <w:r>
        <w:t>L’esame consiste in un colloquio orale durante il quale gli studenti dovranno dimostrare di conoscere informazioni, distinzioni e concetti chiave della sociologia del disagio e della devianza, nonché degli altri argomenti trattati nel corso. Durante il corso, verrà proposta la partecipazione ad attività di gruppo ed effettuato un monitoraggio in itinere con alcuni strumenti online disponibili sulla piattaforma Blackboard (test e/o raccolta di brevi elaborati) per valutare le competenze acquisite; tali attività (facoltative) saranno valorizzate nel punteggio finale attribuito in sede d’esame.</w:t>
      </w:r>
    </w:p>
    <w:p w14:paraId="398B7A9B" w14:textId="77777777" w:rsidR="00EF0A36" w:rsidRDefault="00EF0A36" w:rsidP="00EF0A36">
      <w:pPr>
        <w:pStyle w:val="Testo2"/>
      </w:pPr>
      <w:r>
        <w:t xml:space="preserve">Per superare l’esame finale è necessario ottenere un punteggio minimo di 18/30. Il massimo raggiungibile è 30/30. Alle prove più meritevoli sarà assegnata la lode. </w:t>
      </w:r>
    </w:p>
    <w:p w14:paraId="1DD6EE93" w14:textId="57EF10B3" w:rsidR="00EF0A36" w:rsidRDefault="00EF0A36" w:rsidP="00D06844">
      <w:pPr>
        <w:pStyle w:val="Testo2"/>
        <w:rPr>
          <w:rFonts w:ascii="Times New Roman" w:hAnsi="Times New Roman"/>
          <w:b/>
          <w:i/>
        </w:rPr>
      </w:pPr>
      <w:r>
        <w:t xml:space="preserve">Gli elementi di valutazione delle competenze sono: conoscenza degli argomenti presentati durante il corso (da 1 a 15 punti), chiarezza espositiva (1-5), pertinenza argomentativa (1-5), capacità critica (1-5). </w:t>
      </w:r>
    </w:p>
    <w:p w14:paraId="7FBEBE93" w14:textId="77777777" w:rsidR="00B47844" w:rsidRDefault="00B47844" w:rsidP="00B47844">
      <w:pPr>
        <w:tabs>
          <w:tab w:val="left" w:pos="284"/>
        </w:tabs>
        <w:spacing w:before="240" w:after="120" w:line="240" w:lineRule="auto"/>
        <w:jc w:val="both"/>
        <w:rPr>
          <w:rFonts w:ascii="Times New Roman" w:eastAsia="Times New Roman" w:hAnsi="Times New Roman" w:cs="Times New Roman"/>
          <w:b/>
          <w:i/>
          <w:sz w:val="18"/>
        </w:rPr>
      </w:pPr>
      <w:r>
        <w:rPr>
          <w:rFonts w:ascii="Times New Roman" w:eastAsia="Times New Roman" w:hAnsi="Times New Roman" w:cs="Times New Roman"/>
          <w:b/>
          <w:i/>
          <w:sz w:val="18"/>
        </w:rPr>
        <w:t>AVVERTENZE E PREREQUISITI</w:t>
      </w:r>
    </w:p>
    <w:p w14:paraId="53A1FD32" w14:textId="474D6AC2" w:rsidR="00B47844" w:rsidRDefault="00B47844" w:rsidP="00B47844">
      <w:pPr>
        <w:tabs>
          <w:tab w:val="left" w:pos="284"/>
        </w:tabs>
        <w:spacing w:after="0" w:line="240" w:lineRule="auto"/>
        <w:ind w:firstLine="284"/>
        <w:jc w:val="both"/>
        <w:rPr>
          <w:rFonts w:ascii="Times" w:eastAsia="Times" w:hAnsi="Times" w:cs="Times"/>
          <w:sz w:val="18"/>
        </w:rPr>
      </w:pPr>
      <w:r>
        <w:rPr>
          <w:rFonts w:ascii="Times" w:eastAsia="Times" w:hAnsi="Times" w:cs="Times"/>
          <w:sz w:val="18"/>
        </w:rPr>
        <w:t xml:space="preserve">Il corso presuppone alcune conoscenze sociologiche di base, in relazione ai concetti principali (società, valori, norme, valori, ruoli, </w:t>
      </w:r>
      <w:r w:rsidR="002159E1">
        <w:rPr>
          <w:rFonts w:ascii="Times" w:eastAsia="Times" w:hAnsi="Times" w:cs="Times"/>
          <w:sz w:val="18"/>
        </w:rPr>
        <w:t xml:space="preserve">socializzazione, cultura, </w:t>
      </w:r>
      <w:r>
        <w:rPr>
          <w:rFonts w:ascii="Times" w:eastAsia="Times" w:hAnsi="Times" w:cs="Times"/>
          <w:sz w:val="18"/>
        </w:rPr>
        <w:t xml:space="preserve">ecc.). </w:t>
      </w:r>
    </w:p>
    <w:p w14:paraId="7B851484" w14:textId="77777777" w:rsidR="00B47844" w:rsidRDefault="00B47844" w:rsidP="00B47844">
      <w:pPr>
        <w:tabs>
          <w:tab w:val="left" w:pos="284"/>
        </w:tabs>
        <w:spacing w:before="120" w:after="0" w:line="240" w:lineRule="auto"/>
        <w:ind w:firstLine="284"/>
        <w:jc w:val="both"/>
        <w:rPr>
          <w:rFonts w:ascii="Times" w:eastAsia="Times" w:hAnsi="Times" w:cs="Times"/>
          <w:sz w:val="18"/>
        </w:rPr>
      </w:pPr>
      <w:r>
        <w:rPr>
          <w:rFonts w:ascii="Times" w:eastAsia="Times" w:hAnsi="Times" w:cs="Times"/>
          <w:i/>
          <w:sz w:val="18"/>
        </w:rPr>
        <w:t>Orario e luogo di ricevimento</w:t>
      </w:r>
    </w:p>
    <w:p w14:paraId="3B70FB39" w14:textId="09608C01" w:rsidR="00B47844" w:rsidRDefault="00A355C4" w:rsidP="00B47844">
      <w:pPr>
        <w:tabs>
          <w:tab w:val="left" w:pos="284"/>
        </w:tabs>
        <w:spacing w:after="0" w:line="240" w:lineRule="auto"/>
        <w:ind w:firstLine="284"/>
        <w:jc w:val="both"/>
        <w:rPr>
          <w:rFonts w:ascii="Times" w:eastAsia="Times" w:hAnsi="Times" w:cs="Times"/>
          <w:sz w:val="18"/>
        </w:rPr>
      </w:pPr>
      <w:r>
        <w:rPr>
          <w:rFonts w:ascii="Times" w:eastAsia="Times" w:hAnsi="Times" w:cs="Times"/>
          <w:sz w:val="18"/>
        </w:rPr>
        <w:t>La prof.ssa Linda Lombi</w:t>
      </w:r>
      <w:r w:rsidR="00B47844">
        <w:rPr>
          <w:rFonts w:ascii="Times" w:eastAsia="Times" w:hAnsi="Times" w:cs="Times"/>
          <w:sz w:val="18"/>
        </w:rPr>
        <w:t xml:space="preserve"> riceve gli studenti </w:t>
      </w:r>
      <w:r>
        <w:rPr>
          <w:rFonts w:ascii="Times" w:eastAsia="Times" w:hAnsi="Times" w:cs="Times"/>
          <w:sz w:val="18"/>
        </w:rPr>
        <w:t>su appuntamento (</w:t>
      </w:r>
      <w:r w:rsidR="002159E1">
        <w:rPr>
          <w:rFonts w:ascii="Times" w:eastAsia="Times" w:hAnsi="Times" w:cs="Times"/>
          <w:sz w:val="18"/>
        </w:rPr>
        <w:t xml:space="preserve">online oppure </w:t>
      </w:r>
      <w:r w:rsidR="00B47844">
        <w:rPr>
          <w:rFonts w:ascii="Times" w:eastAsia="Times" w:hAnsi="Times" w:cs="Times"/>
          <w:sz w:val="18"/>
        </w:rPr>
        <w:t xml:space="preserve">presso il Dipartimento di Sociologia </w:t>
      </w:r>
      <w:r w:rsidR="002159E1">
        <w:rPr>
          <w:rFonts w:ascii="Times" w:eastAsia="Times" w:hAnsi="Times" w:cs="Times"/>
          <w:sz w:val="18"/>
        </w:rPr>
        <w:t>-</w:t>
      </w:r>
      <w:r w:rsidR="00D06844">
        <w:rPr>
          <w:rFonts w:ascii="Times" w:eastAsia="Times" w:hAnsi="Times" w:cs="Times"/>
          <w:sz w:val="18"/>
        </w:rPr>
        <w:t xml:space="preserve"> </w:t>
      </w:r>
      <w:r w:rsidR="00B47844">
        <w:rPr>
          <w:rFonts w:ascii="Times" w:eastAsia="Times" w:hAnsi="Times" w:cs="Times"/>
          <w:sz w:val="18"/>
        </w:rPr>
        <w:t xml:space="preserve">L. go Gemelli 1, Edificio </w:t>
      </w:r>
      <w:proofErr w:type="spellStart"/>
      <w:r w:rsidR="00B47844">
        <w:rPr>
          <w:rFonts w:ascii="Times" w:eastAsia="Times" w:hAnsi="Times" w:cs="Times"/>
          <w:sz w:val="18"/>
        </w:rPr>
        <w:t>Francescanum</w:t>
      </w:r>
      <w:proofErr w:type="spellEnd"/>
      <w:r w:rsidR="00B47844">
        <w:rPr>
          <w:rFonts w:ascii="Times" w:eastAsia="Times" w:hAnsi="Times" w:cs="Times"/>
          <w:sz w:val="18"/>
        </w:rPr>
        <w:t xml:space="preserve">, III piano). Per comunicazioni: </w:t>
      </w:r>
      <w:hyperlink r:id="rId9" w:history="1">
        <w:r w:rsidR="002159E1" w:rsidRPr="00687C5E">
          <w:rPr>
            <w:rStyle w:val="Collegamentoipertestuale"/>
            <w:rFonts w:ascii="Times" w:eastAsia="Times" w:hAnsi="Times" w:cs="Times"/>
            <w:i/>
            <w:sz w:val="18"/>
          </w:rPr>
          <w:t>linda.lombi@unicatt.it</w:t>
        </w:r>
      </w:hyperlink>
      <w:r w:rsidR="002159E1">
        <w:rPr>
          <w:rFonts w:ascii="Times" w:eastAsia="Times" w:hAnsi="Times" w:cs="Times"/>
          <w:i/>
          <w:color w:val="0563C1"/>
          <w:sz w:val="18"/>
          <w:u w:val="single"/>
        </w:rPr>
        <w:t xml:space="preserve"> </w:t>
      </w:r>
      <w:r w:rsidR="00B47844">
        <w:rPr>
          <w:rFonts w:ascii="Times" w:eastAsia="Times" w:hAnsi="Times" w:cs="Times"/>
          <w:sz w:val="18"/>
        </w:rPr>
        <w:t xml:space="preserve"> </w:t>
      </w:r>
    </w:p>
    <w:sectPr w:rsidR="00B478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F911" w14:textId="77777777" w:rsidR="0028303B" w:rsidRDefault="0028303B" w:rsidP="0028303B">
      <w:pPr>
        <w:spacing w:after="0" w:line="240" w:lineRule="auto"/>
      </w:pPr>
      <w:r>
        <w:separator/>
      </w:r>
    </w:p>
  </w:endnote>
  <w:endnote w:type="continuationSeparator" w:id="0">
    <w:p w14:paraId="7EA508C2" w14:textId="77777777" w:rsidR="0028303B" w:rsidRDefault="0028303B" w:rsidP="0028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012A" w14:textId="77777777" w:rsidR="0028303B" w:rsidRDefault="0028303B" w:rsidP="0028303B">
      <w:pPr>
        <w:spacing w:after="0" w:line="240" w:lineRule="auto"/>
      </w:pPr>
      <w:r>
        <w:separator/>
      </w:r>
    </w:p>
  </w:footnote>
  <w:footnote w:type="continuationSeparator" w:id="0">
    <w:p w14:paraId="5AEE3279" w14:textId="77777777" w:rsidR="0028303B" w:rsidRDefault="0028303B" w:rsidP="0028303B">
      <w:pPr>
        <w:spacing w:after="0" w:line="240" w:lineRule="auto"/>
      </w:pPr>
      <w:r>
        <w:continuationSeparator/>
      </w:r>
    </w:p>
  </w:footnote>
  <w:footnote w:id="1">
    <w:p w14:paraId="3AB58670" w14:textId="77777777" w:rsidR="0028303B" w:rsidRDefault="0028303B" w:rsidP="0028303B">
      <w:pPr>
        <w:spacing w:after="0" w:line="240" w:lineRule="auto"/>
        <w:rPr>
          <w:rFonts w:ascii="Times New Roman" w:hAnsi="Times New Roman" w:cs="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bookmarkEnd w:id="0"/>
    </w:p>
    <w:bookmarkEnd w:id="1"/>
    <w:p w14:paraId="0735CAD1" w14:textId="1ABF4EDD" w:rsidR="0028303B" w:rsidRDefault="0028303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40376"/>
    <w:multiLevelType w:val="multilevel"/>
    <w:tmpl w:val="CA0CC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323ED8"/>
    <w:multiLevelType w:val="multilevel"/>
    <w:tmpl w:val="63483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50EF3"/>
    <w:multiLevelType w:val="multilevel"/>
    <w:tmpl w:val="89C6D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14668"/>
    <w:multiLevelType w:val="hybridMultilevel"/>
    <w:tmpl w:val="6CA46B20"/>
    <w:lvl w:ilvl="0" w:tplc="731A18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3280E"/>
    <w:multiLevelType w:val="hybridMultilevel"/>
    <w:tmpl w:val="CF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DSzMDA0tjQyMDdQ0lEKTi0uzszPAykwrAUABHCPTSwAAAA="/>
  </w:docVars>
  <w:rsids>
    <w:rsidRoot w:val="00A76D0E"/>
    <w:rsid w:val="00187B99"/>
    <w:rsid w:val="002014DD"/>
    <w:rsid w:val="002159E1"/>
    <w:rsid w:val="0028303B"/>
    <w:rsid w:val="002D5E17"/>
    <w:rsid w:val="002D5F42"/>
    <w:rsid w:val="004D1217"/>
    <w:rsid w:val="004D6008"/>
    <w:rsid w:val="00520924"/>
    <w:rsid w:val="00640794"/>
    <w:rsid w:val="006F1772"/>
    <w:rsid w:val="0085676B"/>
    <w:rsid w:val="008942E7"/>
    <w:rsid w:val="008A1204"/>
    <w:rsid w:val="008C3D63"/>
    <w:rsid w:val="00900CCA"/>
    <w:rsid w:val="00924B77"/>
    <w:rsid w:val="00940DA2"/>
    <w:rsid w:val="0095447E"/>
    <w:rsid w:val="009E055C"/>
    <w:rsid w:val="009E3892"/>
    <w:rsid w:val="00A355C4"/>
    <w:rsid w:val="00A74F6F"/>
    <w:rsid w:val="00A76D0E"/>
    <w:rsid w:val="00AC49B2"/>
    <w:rsid w:val="00AD7557"/>
    <w:rsid w:val="00B47844"/>
    <w:rsid w:val="00B50C5D"/>
    <w:rsid w:val="00B51253"/>
    <w:rsid w:val="00B525CC"/>
    <w:rsid w:val="00C64B09"/>
    <w:rsid w:val="00D06844"/>
    <w:rsid w:val="00D30C70"/>
    <w:rsid w:val="00D37734"/>
    <w:rsid w:val="00D404F2"/>
    <w:rsid w:val="00DC4F12"/>
    <w:rsid w:val="00E607E6"/>
    <w:rsid w:val="00EF0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43AFE"/>
  <w15:chartTrackingRefBased/>
  <w15:docId w15:val="{B5D0A4D0-5CDE-4D81-88B0-943D11EC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20924"/>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20924"/>
    <w:pPr>
      <w:ind w:left="720"/>
      <w:contextualSpacing/>
    </w:pPr>
  </w:style>
  <w:style w:type="character" w:styleId="Collegamentoipertestuale">
    <w:name w:val="Hyperlink"/>
    <w:basedOn w:val="Carpredefinitoparagrafo"/>
    <w:rsid w:val="002159E1"/>
    <w:rPr>
      <w:color w:val="0563C1" w:themeColor="hyperlink"/>
      <w:u w:val="single"/>
    </w:rPr>
  </w:style>
  <w:style w:type="character" w:styleId="Menzionenonrisolta">
    <w:name w:val="Unresolved Mention"/>
    <w:basedOn w:val="Carpredefinitoparagrafo"/>
    <w:uiPriority w:val="99"/>
    <w:semiHidden/>
    <w:unhideWhenUsed/>
    <w:rsid w:val="002159E1"/>
    <w:rPr>
      <w:color w:val="605E5C"/>
      <w:shd w:val="clear" w:color="auto" w:fill="E1DFDD"/>
    </w:rPr>
  </w:style>
  <w:style w:type="paragraph" w:styleId="Testonotaapidipagina">
    <w:name w:val="footnote text"/>
    <w:basedOn w:val="Normale"/>
    <w:link w:val="TestonotaapidipaginaCarattere"/>
    <w:rsid w:val="002830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28303B"/>
    <w:rPr>
      <w:rFonts w:asciiTheme="minorHAnsi" w:eastAsiaTheme="minorEastAsia" w:hAnsiTheme="minorHAnsi" w:cstheme="minorBidi"/>
    </w:rPr>
  </w:style>
  <w:style w:type="character" w:styleId="Rimandonotaapidipagina">
    <w:name w:val="footnote reference"/>
    <w:basedOn w:val="Carpredefinitoparagrafo"/>
    <w:rsid w:val="00283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prina/gang-giovanili-perche-nascono-chi-ne-fa-parte-come-intervenire-9788815283306-67824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lomb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0064-E135-458B-A0B1-90D36E79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537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2023-05-09T16:37:00Z</dcterms:created>
  <dcterms:modified xsi:type="dcterms:W3CDTF">2023-07-04T15:04:00Z</dcterms:modified>
</cp:coreProperties>
</file>