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BE4B" w14:textId="77777777" w:rsidR="00120FA7" w:rsidRPr="007967CF" w:rsidRDefault="00120FA7" w:rsidP="00120FA7">
      <w:pPr>
        <w:tabs>
          <w:tab w:val="clear" w:pos="284"/>
        </w:tabs>
        <w:spacing w:before="480"/>
        <w:ind w:left="284" w:hanging="284"/>
        <w:jc w:val="left"/>
        <w:outlineLvl w:val="0"/>
        <w:rPr>
          <w:rFonts w:ascii="Times" w:hAnsi="Times"/>
          <w:b/>
          <w:noProof/>
          <w:szCs w:val="20"/>
        </w:rPr>
      </w:pPr>
      <w:r w:rsidRPr="007967CF">
        <w:rPr>
          <w:rFonts w:ascii="Times" w:hAnsi="Times"/>
          <w:b/>
          <w:noProof/>
          <w:szCs w:val="20"/>
        </w:rPr>
        <w:t>Economia degli intermediari finanziari</w:t>
      </w:r>
    </w:p>
    <w:p w14:paraId="4408FAB2" w14:textId="77777777" w:rsidR="00120FA7" w:rsidRPr="005C7910" w:rsidRDefault="00120FA7" w:rsidP="00120FA7">
      <w:pPr>
        <w:tabs>
          <w:tab w:val="clear" w:pos="284"/>
        </w:tabs>
        <w:jc w:val="left"/>
        <w:outlineLvl w:val="1"/>
        <w:rPr>
          <w:rFonts w:ascii="Times" w:hAnsi="Times"/>
          <w:smallCaps/>
          <w:noProof/>
          <w:sz w:val="18"/>
          <w:szCs w:val="20"/>
        </w:rPr>
      </w:pPr>
      <w:r w:rsidRPr="005C7910">
        <w:rPr>
          <w:rFonts w:ascii="Times" w:hAnsi="Times"/>
          <w:smallCaps/>
          <w:noProof/>
          <w:sz w:val="18"/>
          <w:szCs w:val="20"/>
        </w:rPr>
        <w:t>Prof. Paolo Gualtieri; Prof.Maura Trillo</w:t>
      </w:r>
    </w:p>
    <w:p w14:paraId="27864D87" w14:textId="77777777" w:rsidR="002D5E17" w:rsidRDefault="00120FA7" w:rsidP="00120FA7">
      <w:pPr>
        <w:spacing w:before="240" w:after="120"/>
        <w:rPr>
          <w:b/>
          <w:sz w:val="18"/>
        </w:rPr>
      </w:pPr>
      <w:r>
        <w:rPr>
          <w:b/>
          <w:i/>
          <w:sz w:val="18"/>
        </w:rPr>
        <w:t>OBIETTIVO DEL CORSO E RISULTATI DI APPRENDIMENTO ATTESI</w:t>
      </w:r>
    </w:p>
    <w:p w14:paraId="66590184" w14:textId="77777777" w:rsidR="00120FA7" w:rsidRPr="007967CF" w:rsidRDefault="00120FA7" w:rsidP="00120FA7">
      <w:r w:rsidRPr="007967CF">
        <w:t>L’insegnamento si propone di esaminare la struttura e il funzionamento del sistema finanziario. Dopo aver chiarito i legami tra il sistema finanziario e il resto del sistema economico, il corso si occupa di analizzare le diverse tipologie di operatori, le attività che caratterizzano la loro operatività e i fattori di differenziazione tra esse, nonché i diversi mercati finanziari e i principali strumenti in essi trattati. Il corso illustra inoltre le caratteristiche tecniche ed economiche dei principali prodotti e servizi offerti dalla banca.</w:t>
      </w:r>
    </w:p>
    <w:p w14:paraId="7F9C1E1C" w14:textId="77777777" w:rsidR="00120FA7" w:rsidRPr="007967CF" w:rsidRDefault="00120FA7" w:rsidP="00120FA7">
      <w:r w:rsidRPr="007967CF">
        <w:t>Al termine del corso lo studente avrà acquisito gli strumenti analitici e teorici necessari per comprendere il funzionamento del sistema finanziario nel suo complesso e le diverse attività svolte dagli operatori di mercato. Inoltre lo studente comprenderà la natura e le caratteristiche dei contratti bancari; gli aspetti tecnici relativi all’attività di raccolta dei fondi, distinguendo tra raccolta al dettaglio e raccolta all’ingrosso; le modalità di valutazione dell’affidabilità della clientela bancaria e, quindi, gli aspetti tecnici relativi alle operazioni di finanziamento; la molteplicità di servizi bancari offerti alla clientela, vista la rilevanza crescente che questi hanno assunto nell’ambito dell’operatività delle banche negli ultimi anni.</w:t>
      </w:r>
    </w:p>
    <w:p w14:paraId="233C0D5D" w14:textId="77777777" w:rsidR="00120FA7" w:rsidRPr="007967CF" w:rsidRDefault="00120FA7" w:rsidP="00120FA7">
      <w:pPr>
        <w:tabs>
          <w:tab w:val="clear" w:pos="284"/>
        </w:tabs>
        <w:spacing w:before="240" w:after="120"/>
        <w:rPr>
          <w:b/>
          <w:szCs w:val="20"/>
        </w:rPr>
      </w:pPr>
      <w:r w:rsidRPr="007967CF">
        <w:rPr>
          <w:b/>
          <w:i/>
          <w:szCs w:val="20"/>
        </w:rPr>
        <w:t>PROGRAMMA DEL CORSO</w:t>
      </w:r>
    </w:p>
    <w:p w14:paraId="51D95F8F" w14:textId="77777777" w:rsidR="00120FA7" w:rsidRPr="007967CF" w:rsidRDefault="00120FA7" w:rsidP="00120FA7">
      <w:pPr>
        <w:tabs>
          <w:tab w:val="clear" w:pos="284"/>
        </w:tabs>
        <w:spacing w:line="240" w:lineRule="auto"/>
        <w:rPr>
          <w:i/>
          <w:szCs w:val="20"/>
        </w:rPr>
      </w:pPr>
      <w:r w:rsidRPr="007967CF">
        <w:rPr>
          <w:i/>
          <w:szCs w:val="20"/>
        </w:rPr>
        <w:t>Il sistema finanziario</w:t>
      </w:r>
    </w:p>
    <w:p w14:paraId="1B33C253" w14:textId="77777777" w:rsidR="00120FA7" w:rsidRPr="007967CF" w:rsidRDefault="00120FA7" w:rsidP="00120FA7">
      <w:pPr>
        <w:tabs>
          <w:tab w:val="clear" w:pos="284"/>
          <w:tab w:val="num" w:pos="567"/>
        </w:tabs>
        <w:spacing w:line="240" w:lineRule="auto"/>
        <w:ind w:left="284" w:hanging="284"/>
        <w:rPr>
          <w:szCs w:val="20"/>
        </w:rPr>
      </w:pPr>
      <w:r w:rsidRPr="007967CF">
        <w:rPr>
          <w:szCs w:val="20"/>
        </w:rPr>
        <w:t>–</w:t>
      </w:r>
      <w:r w:rsidRPr="007967CF">
        <w:rPr>
          <w:szCs w:val="20"/>
        </w:rPr>
        <w:tab/>
        <w:t xml:space="preserve">schema fondamentale dell’intermediazione finanziaria, </w:t>
      </w:r>
      <w:r>
        <w:rPr>
          <w:szCs w:val="20"/>
        </w:rPr>
        <w:t>distinzione</w:t>
      </w:r>
      <w:r w:rsidRPr="007967CF">
        <w:rPr>
          <w:szCs w:val="20"/>
        </w:rPr>
        <w:t xml:space="preserve"> tra un circuito diretto e un circuito indiretto di intermediazione;</w:t>
      </w:r>
    </w:p>
    <w:p w14:paraId="2BB2A7AC" w14:textId="77777777" w:rsidR="00120FA7" w:rsidRPr="007967CF" w:rsidRDefault="00120FA7" w:rsidP="00120FA7">
      <w:pPr>
        <w:tabs>
          <w:tab w:val="clear" w:pos="284"/>
          <w:tab w:val="num" w:pos="567"/>
        </w:tabs>
        <w:spacing w:line="240" w:lineRule="auto"/>
        <w:ind w:left="284" w:hanging="284"/>
        <w:rPr>
          <w:szCs w:val="20"/>
        </w:rPr>
      </w:pPr>
      <w:r w:rsidRPr="007967CF">
        <w:rPr>
          <w:szCs w:val="20"/>
        </w:rPr>
        <w:t>–</w:t>
      </w:r>
      <w:r w:rsidRPr="007967CF">
        <w:rPr>
          <w:szCs w:val="20"/>
        </w:rPr>
        <w:tab/>
        <w:t>concetto di saldo finanziario distinguendo tra soggetti che accumulano attività finanziarie, soggetti che si indebitano e soggetti che intermediano fra le due categorie;</w:t>
      </w:r>
    </w:p>
    <w:p w14:paraId="7FD729D4" w14:textId="77777777" w:rsidR="00120FA7" w:rsidRPr="007967CF" w:rsidRDefault="00120FA7" w:rsidP="00120FA7">
      <w:pPr>
        <w:tabs>
          <w:tab w:val="clear" w:pos="284"/>
          <w:tab w:val="num" w:pos="567"/>
        </w:tabs>
        <w:spacing w:line="240" w:lineRule="auto"/>
        <w:ind w:left="284" w:hanging="284"/>
        <w:rPr>
          <w:szCs w:val="20"/>
        </w:rPr>
      </w:pPr>
      <w:r w:rsidRPr="007967CF">
        <w:rPr>
          <w:szCs w:val="20"/>
        </w:rPr>
        <w:t>–</w:t>
      </w:r>
      <w:r w:rsidRPr="007967CF">
        <w:rPr>
          <w:szCs w:val="20"/>
        </w:rPr>
        <w:tab/>
        <w:t>ruolo dell’informazione nelle scelte finanziarie;</w:t>
      </w:r>
    </w:p>
    <w:p w14:paraId="7C6C9AA1" w14:textId="77777777" w:rsidR="00120FA7" w:rsidRPr="007967CF" w:rsidRDefault="00120FA7" w:rsidP="00120FA7">
      <w:pPr>
        <w:tabs>
          <w:tab w:val="clear" w:pos="284"/>
          <w:tab w:val="num" w:pos="567"/>
        </w:tabs>
        <w:spacing w:line="240" w:lineRule="auto"/>
        <w:ind w:left="284" w:hanging="284"/>
        <w:rPr>
          <w:szCs w:val="20"/>
        </w:rPr>
      </w:pPr>
      <w:r w:rsidRPr="007967CF">
        <w:rPr>
          <w:szCs w:val="20"/>
        </w:rPr>
        <w:t>–</w:t>
      </w:r>
      <w:r w:rsidRPr="007967CF">
        <w:rPr>
          <w:szCs w:val="20"/>
        </w:rPr>
        <w:tab/>
        <w:t>motivazioni fondamentali del risparmio delle famiglie, nonché i criteri in base ai quali esse costruiscono il proprio portafoglio di attività finanziarie;</w:t>
      </w:r>
    </w:p>
    <w:p w14:paraId="6D7512FD" w14:textId="77777777" w:rsidR="00120FA7" w:rsidRPr="007967CF" w:rsidRDefault="00120FA7" w:rsidP="00120FA7">
      <w:pPr>
        <w:tabs>
          <w:tab w:val="clear" w:pos="284"/>
          <w:tab w:val="num" w:pos="567"/>
        </w:tabs>
        <w:spacing w:line="240" w:lineRule="auto"/>
        <w:ind w:left="284" w:hanging="284"/>
        <w:rPr>
          <w:szCs w:val="20"/>
        </w:rPr>
      </w:pPr>
      <w:r w:rsidRPr="007967CF">
        <w:rPr>
          <w:szCs w:val="20"/>
        </w:rPr>
        <w:t>–</w:t>
      </w:r>
      <w:r w:rsidRPr="007967CF">
        <w:rPr>
          <w:szCs w:val="20"/>
        </w:rPr>
        <w:tab/>
        <w:t>criteri che orientano le scelte delle imprese in merito alla composizione delle proprie fonti di finanziamento;</w:t>
      </w:r>
    </w:p>
    <w:p w14:paraId="3F666188" w14:textId="77777777" w:rsidR="00120FA7" w:rsidRPr="007967CF" w:rsidRDefault="00120FA7" w:rsidP="00120FA7">
      <w:pPr>
        <w:tabs>
          <w:tab w:val="clear" w:pos="284"/>
          <w:tab w:val="num" w:pos="567"/>
        </w:tabs>
        <w:spacing w:line="240" w:lineRule="auto"/>
        <w:ind w:left="284" w:hanging="284"/>
        <w:rPr>
          <w:szCs w:val="20"/>
        </w:rPr>
      </w:pPr>
      <w:r w:rsidRPr="007967CF">
        <w:rPr>
          <w:szCs w:val="20"/>
        </w:rPr>
        <w:t>–</w:t>
      </w:r>
      <w:r w:rsidRPr="007967CF">
        <w:rPr>
          <w:szCs w:val="20"/>
        </w:rPr>
        <w:tab/>
        <w:t xml:space="preserve">ragioni dell’esistenza degli intermediari finanziari; </w:t>
      </w:r>
    </w:p>
    <w:p w14:paraId="55B86E5B" w14:textId="77777777" w:rsidR="00120FA7" w:rsidRPr="007967CF" w:rsidRDefault="00120FA7" w:rsidP="00120FA7">
      <w:pPr>
        <w:tabs>
          <w:tab w:val="clear" w:pos="284"/>
          <w:tab w:val="num" w:pos="567"/>
        </w:tabs>
        <w:spacing w:line="240" w:lineRule="auto"/>
        <w:ind w:left="284" w:hanging="284"/>
        <w:rPr>
          <w:szCs w:val="20"/>
        </w:rPr>
      </w:pPr>
      <w:r w:rsidRPr="007967CF">
        <w:rPr>
          <w:szCs w:val="20"/>
        </w:rPr>
        <w:t>–</w:t>
      </w:r>
      <w:r w:rsidRPr="007967CF">
        <w:rPr>
          <w:szCs w:val="20"/>
        </w:rPr>
        <w:tab/>
        <w:t>ruolo e gli obiettivi della regolamentazione del sistema finanziario;</w:t>
      </w:r>
    </w:p>
    <w:p w14:paraId="1F6E6BA2" w14:textId="77777777" w:rsidR="00120FA7" w:rsidRPr="007967CF" w:rsidRDefault="00120FA7" w:rsidP="00120FA7">
      <w:pPr>
        <w:tabs>
          <w:tab w:val="clear" w:pos="284"/>
          <w:tab w:val="num" w:pos="567"/>
        </w:tabs>
        <w:spacing w:line="240" w:lineRule="auto"/>
        <w:ind w:left="284" w:hanging="284"/>
        <w:rPr>
          <w:szCs w:val="20"/>
        </w:rPr>
      </w:pPr>
      <w:r w:rsidRPr="007967CF">
        <w:rPr>
          <w:szCs w:val="20"/>
        </w:rPr>
        <w:t>–</w:t>
      </w:r>
      <w:r w:rsidRPr="007967CF">
        <w:rPr>
          <w:szCs w:val="20"/>
        </w:rPr>
        <w:tab/>
        <w:t>tipologie di contratti finanziari attraverso i quali avviene il trasferimento del potere d’acquisto tra gli agenti economici;</w:t>
      </w:r>
    </w:p>
    <w:p w14:paraId="6A23DFC5" w14:textId="77777777" w:rsidR="00120FA7" w:rsidRPr="007967CF" w:rsidRDefault="00120FA7" w:rsidP="00120FA7">
      <w:pPr>
        <w:tabs>
          <w:tab w:val="clear" w:pos="284"/>
          <w:tab w:val="num" w:pos="567"/>
        </w:tabs>
        <w:spacing w:line="240" w:lineRule="auto"/>
        <w:ind w:left="236" w:hangingChars="118" w:hanging="236"/>
        <w:rPr>
          <w:szCs w:val="20"/>
        </w:rPr>
      </w:pPr>
      <w:r>
        <w:rPr>
          <w:szCs w:val="20"/>
        </w:rPr>
        <w:lastRenderedPageBreak/>
        <w:t xml:space="preserve">– </w:t>
      </w:r>
      <w:r w:rsidRPr="007967CF">
        <w:rPr>
          <w:szCs w:val="20"/>
        </w:rPr>
        <w:t>valore temporale della moneta, le grandezze microeconomiche e quelle macroeconomiche che determinano il trasferimento di risorse attraverso il sistema finanziario;</w:t>
      </w:r>
    </w:p>
    <w:p w14:paraId="7D4C7210"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nozioni che stanno alla base della formazione dei tassi di interesse, cosa si intende per struttura dei tassi di interesse in relazione alla scadenza nonché capire il rapporto che intercorre tra tassi e rischio;</w:t>
      </w:r>
    </w:p>
    <w:p w14:paraId="78C0C66C"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importanza del sistema dei pagamenti nelle moderne economie ed il processo di “creazione” della moneta bancaria: dalla base monetaria immessa dalla banca centrale alla crescita dei depositi mediante il meccanismo del moltiplicatore, con particolare riferimento al nesso fra moltiplicatore e comportamenti di banche e pubblico;</w:t>
      </w:r>
    </w:p>
    <w:p w14:paraId="16890BC2"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ragioni che spiegano l’esistenza e l’importanza delle banche centrali nonché la politica monetaria da esse attuata;</w:t>
      </w:r>
    </w:p>
    <w:p w14:paraId="2294C1F5"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diversi mercati che rendono possibile il trasferimento delle risorse finanziarie e i principali strumenti in essi trattati.</w:t>
      </w:r>
    </w:p>
    <w:p w14:paraId="3FE19B7C" w14:textId="77777777" w:rsidR="00120FA7" w:rsidRPr="007967CF" w:rsidRDefault="00120FA7" w:rsidP="00120FA7">
      <w:pPr>
        <w:tabs>
          <w:tab w:val="clear" w:pos="284"/>
        </w:tabs>
        <w:spacing w:before="120" w:line="240" w:lineRule="auto"/>
        <w:rPr>
          <w:i/>
          <w:szCs w:val="20"/>
        </w:rPr>
      </w:pPr>
      <w:r w:rsidRPr="007967CF">
        <w:rPr>
          <w:i/>
          <w:szCs w:val="20"/>
        </w:rPr>
        <w:t>Il settore delle istituzioni finanziarie</w:t>
      </w:r>
    </w:p>
    <w:p w14:paraId="4D16C8D3"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peculiarità del ruolo svolto dalla banca nel sistema finanziario e ciò che la distingue dalle altre categorie di intermediari finanziari nonché i diversi rischi connessi alla funzione creditizia;</w:t>
      </w:r>
    </w:p>
    <w:p w14:paraId="7E232C40"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quadro normativo che definisce le regole dell’attività svolta dalle banche e della loro vigilanza;</w:t>
      </w:r>
    </w:p>
    <w:p w14:paraId="26659F25"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principali categorie di intermediari finanziari non bancari;</w:t>
      </w:r>
    </w:p>
    <w:p w14:paraId="239706B7"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operatori che consentono il funzionamento del mercato secondario: broker e dealer;</w:t>
      </w:r>
    </w:p>
    <w:p w14:paraId="73E95DC3"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caratteristiche essenziali dei fondi comuni di investimento e degli altri organismi collettivi di investimento;</w:t>
      </w:r>
    </w:p>
    <w:p w14:paraId="5ABF0663"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r>
      <w:r>
        <w:rPr>
          <w:szCs w:val="20"/>
        </w:rPr>
        <w:t>i</w:t>
      </w:r>
      <w:r w:rsidRPr="007967CF">
        <w:rPr>
          <w:szCs w:val="20"/>
        </w:rPr>
        <w:t>mportanza dei fondi pensione nei moderni sistemi finanziari;</w:t>
      </w:r>
    </w:p>
    <w:p w14:paraId="6D64EA3D"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caratteristiche essenziali delle compagnie di assicurazione come intermediari finanziari.</w:t>
      </w:r>
    </w:p>
    <w:p w14:paraId="537B240A" w14:textId="77777777" w:rsidR="00120FA7" w:rsidRPr="007967CF" w:rsidRDefault="00120FA7" w:rsidP="00120FA7">
      <w:pPr>
        <w:tabs>
          <w:tab w:val="clear" w:pos="284"/>
        </w:tabs>
        <w:spacing w:before="120" w:line="240" w:lineRule="auto"/>
        <w:rPr>
          <w:i/>
          <w:szCs w:val="20"/>
        </w:rPr>
      </w:pPr>
      <w:r w:rsidRPr="007967CF">
        <w:rPr>
          <w:i/>
          <w:szCs w:val="20"/>
        </w:rPr>
        <w:t>Le operazioni bancarie</w:t>
      </w:r>
    </w:p>
    <w:p w14:paraId="36227378"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classificazione dei contratti bancari,</w:t>
      </w:r>
      <w:r>
        <w:rPr>
          <w:szCs w:val="20"/>
        </w:rPr>
        <w:t xml:space="preserve"> comprensione dell</w:t>
      </w:r>
      <w:r w:rsidRPr="007967CF">
        <w:rPr>
          <w:szCs w:val="20"/>
        </w:rPr>
        <w:t>e tre grandi aree di operatività della banca, e cioè la raccolta di fondi, il loro impiego nell’attività creditizia e l’offerta di servizi di pagamento e di gestione del risparmio;</w:t>
      </w:r>
    </w:p>
    <w:p w14:paraId="62B48248"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collocazione nel bilancio bancario di tali transazioni ed il contributo da esse fornito al conto economico della banca;</w:t>
      </w:r>
    </w:p>
    <w:p w14:paraId="41F6ED22"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modalità di approvvigionamento di risorse finanziarie da parte della banca, distinguendo tra raccolta al dettaglio e raccolta all’ingrosso;</w:t>
      </w:r>
    </w:p>
    <w:p w14:paraId="38F3F72F"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forme tecniche che configurano depositi con funzione monetaria e depositi con funzione di impiego remunerato;</w:t>
      </w:r>
    </w:p>
    <w:p w14:paraId="025EAB02"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operazioni all’ingrosso, distinguendo quelle poste in essere dalla banca in contropartita con la banca centrale, con altre banche o con investitori istituzionali;</w:t>
      </w:r>
    </w:p>
    <w:p w14:paraId="04D3128B"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lastRenderedPageBreak/>
        <w:t>–</w:t>
      </w:r>
      <w:r w:rsidRPr="007967CF">
        <w:rPr>
          <w:szCs w:val="20"/>
        </w:rPr>
        <w:tab/>
        <w:t>caratteristiche salienti delle indagini svolte dalle banche per la valutazione del grado di affidabilità della propria clientela;</w:t>
      </w:r>
    </w:p>
    <w:p w14:paraId="307B156C"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aspetti tecnici delle operazioni di finanziamento distinte in relazione alle loro finalità e alla loro scadenza temporale;</w:t>
      </w:r>
    </w:p>
    <w:p w14:paraId="7CF1A02C"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servizi offerti alla clientela, distinguendo tra i servizi di pagamento, quelli di custodia e quelli di risparmio gestito, e identificarne i principali elementi di costo;</w:t>
      </w:r>
    </w:p>
    <w:p w14:paraId="5C9AA1AB"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 xml:space="preserve">servizi di risparmio gestito, </w:t>
      </w:r>
      <w:r>
        <w:rPr>
          <w:szCs w:val="20"/>
        </w:rPr>
        <w:t xml:space="preserve">e </w:t>
      </w:r>
      <w:r w:rsidRPr="007967CF">
        <w:rPr>
          <w:szCs w:val="20"/>
        </w:rPr>
        <w:t>come essi possano rappresentare per i clienti strumenti di investimento delle loro disponibilità monetarie alternativi rispetto ai depositi tempo;</w:t>
      </w:r>
    </w:p>
    <w:p w14:paraId="33391216"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caratteristiche di alcuni servizi bancari specificamente indirizzati alle imprese, quali il cash management e il regolamento dei crediti commerciali mediante procedure interbancarie che si avvalgono di supporti magnetici per la gestione delle disposizioni di incasso.</w:t>
      </w:r>
    </w:p>
    <w:p w14:paraId="2F779E39" w14:textId="3AA0D1F7" w:rsidR="00120FA7" w:rsidRPr="007967CF" w:rsidRDefault="00120FA7" w:rsidP="00120FA7">
      <w:pPr>
        <w:tabs>
          <w:tab w:val="clear" w:pos="284"/>
        </w:tabs>
        <w:spacing w:before="240" w:after="120" w:line="240" w:lineRule="auto"/>
        <w:rPr>
          <w:b/>
          <w:i/>
          <w:szCs w:val="20"/>
        </w:rPr>
      </w:pPr>
      <w:r w:rsidRPr="007967CF">
        <w:rPr>
          <w:b/>
          <w:i/>
          <w:szCs w:val="20"/>
        </w:rPr>
        <w:t>BIBLIOGRAFIA</w:t>
      </w:r>
      <w:r w:rsidR="008A6618">
        <w:rPr>
          <w:rStyle w:val="Rimandonotaapidipagina"/>
          <w:b/>
          <w:i/>
          <w:szCs w:val="20"/>
        </w:rPr>
        <w:footnoteReference w:id="1"/>
      </w:r>
    </w:p>
    <w:p w14:paraId="1AFDCE72" w14:textId="1D827C18" w:rsidR="00120FA7" w:rsidRPr="00120FA7" w:rsidRDefault="00120FA7" w:rsidP="00120FA7">
      <w:pPr>
        <w:tabs>
          <w:tab w:val="clear" w:pos="284"/>
        </w:tabs>
        <w:spacing w:line="240" w:lineRule="atLeast"/>
        <w:ind w:left="284" w:hanging="284"/>
        <w:rPr>
          <w:rFonts w:ascii="Times" w:hAnsi="Times"/>
          <w:spacing w:val="-5"/>
          <w:sz w:val="18"/>
          <w:szCs w:val="20"/>
        </w:rPr>
      </w:pPr>
      <w:r w:rsidRPr="00120FA7">
        <w:rPr>
          <w:rFonts w:ascii="Times" w:hAnsi="Times"/>
          <w:smallCaps/>
          <w:spacing w:val="-5"/>
          <w:sz w:val="16"/>
          <w:szCs w:val="20"/>
        </w:rPr>
        <w:t>P. Gualtieri,</w:t>
      </w:r>
      <w:r w:rsidRPr="00120FA7">
        <w:rPr>
          <w:rFonts w:ascii="Times" w:hAnsi="Times"/>
          <w:i/>
          <w:spacing w:val="-5"/>
          <w:sz w:val="18"/>
          <w:szCs w:val="20"/>
        </w:rPr>
        <w:t xml:space="preserve"> Teoria dell’intermediazione finanziaria,</w:t>
      </w:r>
      <w:r w:rsidRPr="00120FA7">
        <w:rPr>
          <w:rFonts w:ascii="Times" w:hAnsi="Times"/>
          <w:spacing w:val="-5"/>
          <w:sz w:val="18"/>
          <w:szCs w:val="20"/>
        </w:rPr>
        <w:t xml:space="preserve"> EGEA, 20</w:t>
      </w:r>
      <w:r w:rsidR="000E0B97">
        <w:rPr>
          <w:rFonts w:ascii="Times" w:hAnsi="Times"/>
          <w:spacing w:val="-5"/>
          <w:sz w:val="18"/>
          <w:szCs w:val="20"/>
        </w:rPr>
        <w:t>2</w:t>
      </w:r>
      <w:r w:rsidR="00DA7EA3">
        <w:rPr>
          <w:rFonts w:ascii="Times" w:hAnsi="Times"/>
          <w:spacing w:val="-5"/>
          <w:sz w:val="18"/>
          <w:szCs w:val="20"/>
        </w:rPr>
        <w:t>3</w:t>
      </w:r>
      <w:r w:rsidRPr="00120FA7">
        <w:rPr>
          <w:rFonts w:ascii="Times" w:hAnsi="Times"/>
          <w:spacing w:val="-5"/>
          <w:sz w:val="18"/>
          <w:szCs w:val="20"/>
        </w:rPr>
        <w:t xml:space="preserve"> (</w:t>
      </w:r>
      <w:r w:rsidR="00DA7EA3">
        <w:rPr>
          <w:rFonts w:ascii="Times" w:hAnsi="Times"/>
          <w:spacing w:val="-5"/>
          <w:sz w:val="18"/>
          <w:szCs w:val="20"/>
        </w:rPr>
        <w:t>6</w:t>
      </w:r>
      <w:r w:rsidRPr="005C7910">
        <w:rPr>
          <w:rFonts w:ascii="Times" w:hAnsi="Times"/>
          <w:spacing w:val="-5"/>
          <w:sz w:val="18"/>
          <w:szCs w:val="20"/>
          <w:vertAlign w:val="superscript"/>
        </w:rPr>
        <w:t>a</w:t>
      </w:r>
      <w:r w:rsidRPr="00120FA7">
        <w:rPr>
          <w:rFonts w:ascii="Times" w:hAnsi="Times"/>
          <w:spacing w:val="-5"/>
          <w:sz w:val="18"/>
          <w:szCs w:val="20"/>
        </w:rPr>
        <w:t xml:space="preserve"> edizione).</w:t>
      </w:r>
      <w:r w:rsidR="008A6618">
        <w:rPr>
          <w:rFonts w:ascii="Times" w:hAnsi="Times"/>
          <w:spacing w:val="-5"/>
          <w:sz w:val="18"/>
          <w:szCs w:val="20"/>
        </w:rPr>
        <w:t xml:space="preserve"> </w:t>
      </w:r>
      <w:hyperlink r:id="rId7" w:history="1">
        <w:r w:rsidR="008A6618" w:rsidRPr="008A6618">
          <w:rPr>
            <w:rStyle w:val="Collegamentoipertestuale"/>
            <w:i/>
            <w:sz w:val="18"/>
            <w:szCs w:val="18"/>
          </w:rPr>
          <w:t>Acquista da VP</w:t>
        </w:r>
      </w:hyperlink>
    </w:p>
    <w:p w14:paraId="15E5A7CF" w14:textId="77777777" w:rsidR="00120FA7" w:rsidRPr="007967CF" w:rsidRDefault="00120FA7" w:rsidP="00120FA7">
      <w:pPr>
        <w:tabs>
          <w:tab w:val="clear" w:pos="284"/>
        </w:tabs>
        <w:spacing w:before="240" w:after="120" w:line="240" w:lineRule="auto"/>
        <w:rPr>
          <w:b/>
          <w:i/>
          <w:szCs w:val="20"/>
        </w:rPr>
      </w:pPr>
      <w:r w:rsidRPr="007967CF">
        <w:rPr>
          <w:b/>
          <w:i/>
          <w:szCs w:val="20"/>
        </w:rPr>
        <w:t>DIDATTICA DEL CORSO</w:t>
      </w:r>
    </w:p>
    <w:p w14:paraId="2663731D" w14:textId="77777777" w:rsidR="00120FA7" w:rsidRPr="007967CF" w:rsidRDefault="00120FA7" w:rsidP="00120FA7">
      <w:pPr>
        <w:pStyle w:val="Testo2"/>
      </w:pPr>
      <w:r w:rsidRPr="007967CF">
        <w:t>Il corso è svolto attraverso lezioni in aula con il supporto di slides.</w:t>
      </w:r>
    </w:p>
    <w:p w14:paraId="5043DAE1" w14:textId="77777777" w:rsidR="00120FA7" w:rsidRPr="007967CF" w:rsidRDefault="00120FA7" w:rsidP="00120FA7">
      <w:pPr>
        <w:tabs>
          <w:tab w:val="clear" w:pos="284"/>
        </w:tabs>
        <w:spacing w:before="240" w:after="120" w:line="240" w:lineRule="auto"/>
        <w:rPr>
          <w:b/>
          <w:i/>
          <w:szCs w:val="20"/>
        </w:rPr>
      </w:pPr>
      <w:r w:rsidRPr="007967CF">
        <w:rPr>
          <w:b/>
          <w:i/>
          <w:szCs w:val="20"/>
        </w:rPr>
        <w:t>METODO E CRITERI DI VALUTAZIONE</w:t>
      </w:r>
    </w:p>
    <w:p w14:paraId="5630BE2E" w14:textId="77777777" w:rsidR="00120FA7" w:rsidRPr="007967CF" w:rsidRDefault="00120FA7" w:rsidP="00120FA7">
      <w:pPr>
        <w:pStyle w:val="Testo2"/>
      </w:pPr>
      <w:r w:rsidRPr="007967CF">
        <w:t>L’esame prevede il sostenimento di una prova scritta (composta da domande aperte ed una parte applicativa) che riguardano tutti gli argomenti trattati durante il corso. Le domande aperte e la parte applicativa concorrono a formare la valutazione rispettivavente per circa l’80% e il 20% del voto, fermo restando che ai fini del superamento dell’esame occorrerà ottenere la sufficienza in entrambe le parti. A tal fine saranno valutate la pertinenza delle risposte, l’uso appropriato della terminologia specifica e la strutturazione argomentata del discorso, nonché, per la parte applicativa, la correttezza dell’impostazione e dello svolgimento degli esercizi.</w:t>
      </w:r>
    </w:p>
    <w:p w14:paraId="26FCDFC0" w14:textId="77777777" w:rsidR="00120FA7" w:rsidRPr="007967CF" w:rsidRDefault="00120FA7" w:rsidP="00120FA7">
      <w:pPr>
        <w:pStyle w:val="Testo2"/>
      </w:pPr>
      <w:r w:rsidRPr="007967CF">
        <w:t>In caso di esito positivo della prova scritta, gli studenti possono scegliere di sostenere una prova orale ad integrazione del voto dello scritto</w:t>
      </w:r>
      <w:r>
        <w:t>,</w:t>
      </w:r>
      <w:r w:rsidRPr="007967CF">
        <w:t xml:space="preserve"> che verterà anch’essa su tutti gli argomenti del programma e potrà comportare una variazione in aumento o in diminuzione del voto dello scritto. </w:t>
      </w:r>
    </w:p>
    <w:p w14:paraId="4E2097F3" w14:textId="77777777" w:rsidR="00120FA7" w:rsidRPr="007967CF" w:rsidRDefault="00120FA7" w:rsidP="00120FA7">
      <w:pPr>
        <w:pStyle w:val="Testo2"/>
      </w:pPr>
      <w:r w:rsidRPr="007967CF">
        <w:t>Eventualmente durante il corso vi potranno essere delle prove intermedie che, se sostenute con esito finale positivo, consentiranno il superamento dell’esame.</w:t>
      </w:r>
    </w:p>
    <w:p w14:paraId="53721EE4" w14:textId="77777777" w:rsidR="00120FA7" w:rsidRPr="007967CF" w:rsidRDefault="00120FA7" w:rsidP="00120FA7">
      <w:pPr>
        <w:tabs>
          <w:tab w:val="clear" w:pos="284"/>
        </w:tabs>
        <w:spacing w:before="240" w:after="120" w:line="240" w:lineRule="auto"/>
        <w:rPr>
          <w:b/>
          <w:i/>
          <w:szCs w:val="20"/>
        </w:rPr>
      </w:pPr>
      <w:r w:rsidRPr="007967CF">
        <w:rPr>
          <w:b/>
          <w:i/>
          <w:szCs w:val="20"/>
        </w:rPr>
        <w:t>AVVERTENZE E PREREQUISITI</w:t>
      </w:r>
    </w:p>
    <w:p w14:paraId="5C17F3F5" w14:textId="77777777" w:rsidR="00120FA7" w:rsidRDefault="00120FA7" w:rsidP="00120FA7">
      <w:pPr>
        <w:pStyle w:val="Testo2"/>
      </w:pPr>
      <w:r w:rsidRPr="007967CF">
        <w:lastRenderedPageBreak/>
        <w:t xml:space="preserve">Avendo carattere introduttivo, l’insegnamento non necessita di prerequisiti relativi ai contenuti. </w:t>
      </w:r>
    </w:p>
    <w:p w14:paraId="59E24215" w14:textId="77777777" w:rsidR="00120FA7" w:rsidRPr="00120FA7" w:rsidRDefault="00120FA7" w:rsidP="00120FA7">
      <w:pPr>
        <w:tabs>
          <w:tab w:val="clear" w:pos="284"/>
        </w:tabs>
        <w:spacing w:before="120" w:line="240" w:lineRule="auto"/>
        <w:ind w:firstLine="284"/>
        <w:rPr>
          <w:rFonts w:ascii="Times" w:hAnsi="Times"/>
          <w:i/>
          <w:noProof/>
          <w:sz w:val="18"/>
          <w:szCs w:val="20"/>
        </w:rPr>
      </w:pPr>
      <w:r w:rsidRPr="00120FA7">
        <w:rPr>
          <w:rFonts w:ascii="Times" w:hAnsi="Times"/>
          <w:i/>
          <w:noProof/>
          <w:sz w:val="18"/>
          <w:szCs w:val="20"/>
        </w:rPr>
        <w:t>Orario e luogo di ricevimento</w:t>
      </w:r>
    </w:p>
    <w:p w14:paraId="580E030F" w14:textId="77777777" w:rsidR="00120FA7" w:rsidRPr="00120FA7" w:rsidRDefault="00120FA7" w:rsidP="00120FA7">
      <w:pPr>
        <w:tabs>
          <w:tab w:val="clear" w:pos="284"/>
        </w:tabs>
        <w:spacing w:line="240" w:lineRule="auto"/>
        <w:ind w:firstLine="284"/>
        <w:rPr>
          <w:rFonts w:ascii="Times" w:hAnsi="Times"/>
          <w:noProof/>
          <w:sz w:val="18"/>
          <w:szCs w:val="20"/>
        </w:rPr>
      </w:pPr>
      <w:r w:rsidRPr="00120FA7">
        <w:rPr>
          <w:rFonts w:ascii="Times" w:hAnsi="Times"/>
          <w:noProof/>
          <w:sz w:val="18"/>
          <w:szCs w:val="20"/>
        </w:rPr>
        <w:t>I docenti indicheranno l’orario e il luogo di ricevimento degli studenti nella bacheca avvisi della loro pagina web.</w:t>
      </w:r>
    </w:p>
    <w:sectPr w:rsidR="00120FA7" w:rsidRPr="00120FA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E3C05" w14:textId="77777777" w:rsidR="008A6618" w:rsidRDefault="008A6618" w:rsidP="008A6618">
      <w:pPr>
        <w:spacing w:line="240" w:lineRule="auto"/>
      </w:pPr>
      <w:r>
        <w:separator/>
      </w:r>
    </w:p>
  </w:endnote>
  <w:endnote w:type="continuationSeparator" w:id="0">
    <w:p w14:paraId="3805CBD2" w14:textId="77777777" w:rsidR="008A6618" w:rsidRDefault="008A6618" w:rsidP="008A66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A38C7" w14:textId="77777777" w:rsidR="008A6618" w:rsidRDefault="008A6618" w:rsidP="008A6618">
      <w:pPr>
        <w:spacing w:line="240" w:lineRule="auto"/>
      </w:pPr>
      <w:r>
        <w:separator/>
      </w:r>
    </w:p>
  </w:footnote>
  <w:footnote w:type="continuationSeparator" w:id="0">
    <w:p w14:paraId="6336857F" w14:textId="77777777" w:rsidR="008A6618" w:rsidRDefault="008A6618" w:rsidP="008A6618">
      <w:pPr>
        <w:spacing w:line="240" w:lineRule="auto"/>
      </w:pPr>
      <w:r>
        <w:continuationSeparator/>
      </w:r>
    </w:p>
  </w:footnote>
  <w:footnote w:id="1">
    <w:p w14:paraId="46A3BE82" w14:textId="44ADA23B" w:rsidR="008A6618" w:rsidRDefault="008A661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FA7"/>
    <w:rsid w:val="000E0B97"/>
    <w:rsid w:val="00120FA7"/>
    <w:rsid w:val="00187B99"/>
    <w:rsid w:val="002014DD"/>
    <w:rsid w:val="002D5E17"/>
    <w:rsid w:val="004D1217"/>
    <w:rsid w:val="004D6008"/>
    <w:rsid w:val="00593053"/>
    <w:rsid w:val="005C7910"/>
    <w:rsid w:val="00640794"/>
    <w:rsid w:val="006F1772"/>
    <w:rsid w:val="008469CC"/>
    <w:rsid w:val="008942E7"/>
    <w:rsid w:val="008A1204"/>
    <w:rsid w:val="008A6618"/>
    <w:rsid w:val="00900CCA"/>
    <w:rsid w:val="00924B77"/>
    <w:rsid w:val="00940DA2"/>
    <w:rsid w:val="009E055C"/>
    <w:rsid w:val="009F3C5A"/>
    <w:rsid w:val="00A74F6F"/>
    <w:rsid w:val="00A773FC"/>
    <w:rsid w:val="00AD7557"/>
    <w:rsid w:val="00B50C5D"/>
    <w:rsid w:val="00B51253"/>
    <w:rsid w:val="00B525CC"/>
    <w:rsid w:val="00C846D5"/>
    <w:rsid w:val="00D404F2"/>
    <w:rsid w:val="00DA7EA3"/>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B7F618"/>
  <w15:chartTrackingRefBased/>
  <w15:docId w15:val="{0F37425F-AE4E-4F35-B210-93A24AEB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20FA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8A6618"/>
    <w:pPr>
      <w:spacing w:line="240" w:lineRule="auto"/>
    </w:pPr>
    <w:rPr>
      <w:szCs w:val="20"/>
    </w:rPr>
  </w:style>
  <w:style w:type="character" w:customStyle="1" w:styleId="TestonotaapidipaginaCarattere">
    <w:name w:val="Testo nota a piè di pagina Carattere"/>
    <w:basedOn w:val="Carpredefinitoparagrafo"/>
    <w:link w:val="Testonotaapidipagina"/>
    <w:rsid w:val="008A6618"/>
  </w:style>
  <w:style w:type="character" w:styleId="Rimandonotaapidipagina">
    <w:name w:val="footnote reference"/>
    <w:basedOn w:val="Carpredefinitoparagrafo"/>
    <w:rsid w:val="008A6618"/>
    <w:rPr>
      <w:vertAlign w:val="superscript"/>
    </w:rPr>
  </w:style>
  <w:style w:type="character" w:styleId="Collegamentoipertestuale">
    <w:name w:val="Hyperlink"/>
    <w:basedOn w:val="Carpredefinitoparagrafo"/>
    <w:rsid w:val="008A6618"/>
    <w:rPr>
      <w:color w:val="0563C1" w:themeColor="hyperlink"/>
      <w:u w:val="single"/>
    </w:rPr>
  </w:style>
  <w:style w:type="character" w:styleId="Menzionenonrisolta">
    <w:name w:val="Unresolved Mention"/>
    <w:basedOn w:val="Carpredefinitoparagrafo"/>
    <w:uiPriority w:val="99"/>
    <w:semiHidden/>
    <w:unhideWhenUsed/>
    <w:rsid w:val="008A6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paolo-gualtieri/teoria-dellintermediazione-finanziaria-9788823823488-718926.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82AB9-CFF6-4C1B-A376-9A0CBBDE2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4</Pages>
  <Words>1009</Words>
  <Characters>6515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2021-04-22T08:10:00Z</dcterms:created>
  <dcterms:modified xsi:type="dcterms:W3CDTF">2023-06-26T09:04:00Z</dcterms:modified>
</cp:coreProperties>
</file>