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49C5" w14:textId="77777777" w:rsidR="007657D1" w:rsidRPr="00127254" w:rsidRDefault="007657D1" w:rsidP="007657D1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szCs w:val="20"/>
        </w:rPr>
      </w:pPr>
      <w:bookmarkStart w:id="0" w:name="_Toc50466084"/>
      <w:bookmarkStart w:id="1" w:name="_Toc73347711"/>
      <w:r w:rsidRPr="00127254">
        <w:rPr>
          <w:rFonts w:ascii="Times" w:hAnsi="Times"/>
          <w:b/>
          <w:noProof/>
          <w:szCs w:val="20"/>
        </w:rPr>
        <w:t xml:space="preserve">Strumenti derivati (corso avanzato) </w:t>
      </w:r>
      <w:r w:rsidRPr="00127254">
        <w:rPr>
          <w:rFonts w:ascii="Times" w:hAnsi="Times"/>
          <w:b/>
          <w:noProof/>
          <w:color w:val="000000"/>
          <w:szCs w:val="20"/>
        </w:rPr>
        <w:t>(per i profili Finanza e Finanza -</w:t>
      </w:r>
      <w:bookmarkEnd w:id="0"/>
      <w:bookmarkEnd w:id="1"/>
      <w:r w:rsidRPr="00127254">
        <w:rPr>
          <w:rFonts w:ascii="Times" w:hAnsi="Times"/>
          <w:b/>
          <w:noProof/>
          <w:color w:val="000000"/>
          <w:szCs w:val="20"/>
        </w:rPr>
        <w:t xml:space="preserve"> </w:t>
      </w:r>
    </w:p>
    <w:p w14:paraId="2310EE4C" w14:textId="77777777" w:rsidR="007657D1" w:rsidRPr="00127254" w:rsidRDefault="007657D1" w:rsidP="007657D1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color w:val="221E1F"/>
          <w:szCs w:val="20"/>
        </w:rPr>
      </w:pPr>
      <w:bookmarkStart w:id="2" w:name="_Toc50466085"/>
      <w:bookmarkStart w:id="3" w:name="_Toc73347712"/>
      <w:r w:rsidRPr="00127254">
        <w:rPr>
          <w:rFonts w:ascii="Times" w:hAnsi="Times"/>
          <w:b/>
          <w:noProof/>
          <w:color w:val="221E1F"/>
          <w:szCs w:val="20"/>
        </w:rPr>
        <w:t>Corporate advisory)</w:t>
      </w:r>
      <w:bookmarkEnd w:id="2"/>
      <w:bookmarkEnd w:id="3"/>
    </w:p>
    <w:p w14:paraId="5B92AA75" w14:textId="77777777" w:rsidR="007657D1" w:rsidRDefault="007657D1" w:rsidP="007657D1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bookmarkStart w:id="4" w:name="_Toc50466086"/>
      <w:bookmarkStart w:id="5" w:name="_Toc73347713"/>
      <w:r w:rsidRPr="00127254">
        <w:rPr>
          <w:rFonts w:ascii="Times" w:hAnsi="Times"/>
          <w:smallCaps/>
          <w:noProof/>
          <w:sz w:val="18"/>
          <w:szCs w:val="20"/>
        </w:rPr>
        <w:t>Prof. Giovanni Petrella</w:t>
      </w:r>
      <w:bookmarkEnd w:id="4"/>
      <w:bookmarkEnd w:id="5"/>
    </w:p>
    <w:p w14:paraId="24A223F8" w14:textId="77777777" w:rsidR="007657D1" w:rsidRPr="00127254" w:rsidRDefault="007657D1" w:rsidP="007657D1">
      <w:pPr>
        <w:spacing w:before="240" w:after="120"/>
        <w:rPr>
          <w:b/>
          <w:sz w:val="18"/>
        </w:rPr>
      </w:pPr>
      <w:r w:rsidRPr="00127254">
        <w:rPr>
          <w:b/>
          <w:i/>
          <w:sz w:val="18"/>
        </w:rPr>
        <w:t>OBIETTIVO DEL CORSO E RISULTATI DI APPRENDIMENTO ATTESI</w:t>
      </w:r>
    </w:p>
    <w:p w14:paraId="7B4AB649" w14:textId="77777777" w:rsidR="007657D1" w:rsidRPr="00127254" w:rsidRDefault="007657D1" w:rsidP="007657D1">
      <w:r w:rsidRPr="00127254">
        <w:t xml:space="preserve">Il corso fornisce agli studenti competenze su tre principali aree: pricing delle opzioni su diversi sottostanti (azioni, indici azionari, valute, futures), pricing di derivati su tassi di interesse (opzioni su obbligazioni, cap, floor, swaption) e pricing di derivati creditizi. </w:t>
      </w:r>
    </w:p>
    <w:p w14:paraId="7C3FFC83" w14:textId="77777777" w:rsidR="007657D1" w:rsidRPr="00127254" w:rsidRDefault="007657D1" w:rsidP="007657D1">
      <w:r w:rsidRPr="00127254">
        <w:t xml:space="preserve">Il corso include esercitazioni finalizzate all’applicazione dei concetti trattati nelle lezioni teoriche. </w:t>
      </w:r>
    </w:p>
    <w:p w14:paraId="3DC7204E" w14:textId="77777777" w:rsidR="007657D1" w:rsidRPr="00127254" w:rsidRDefault="007657D1" w:rsidP="007657D1">
      <w:r w:rsidRPr="00127254">
        <w:t>Al termine del corso gli studenti saranno in grado di conoscere, comprendere le assunzioni e applicare i principali modelli utilizzati nella prassi per la valutazione degli strumenti derivati.</w:t>
      </w:r>
    </w:p>
    <w:p w14:paraId="1B2F2DC6" w14:textId="77777777" w:rsidR="007657D1" w:rsidRPr="00127254" w:rsidRDefault="007657D1" w:rsidP="007657D1">
      <w:pPr>
        <w:spacing w:before="240" w:after="120"/>
        <w:rPr>
          <w:b/>
          <w:sz w:val="18"/>
        </w:rPr>
      </w:pPr>
      <w:r w:rsidRPr="00127254">
        <w:rPr>
          <w:b/>
          <w:i/>
          <w:sz w:val="18"/>
        </w:rPr>
        <w:t>PROGRAMMA DEL CORSO</w:t>
      </w:r>
    </w:p>
    <w:p w14:paraId="7BFBCBCF" w14:textId="77777777" w:rsidR="007657D1" w:rsidRPr="00127254" w:rsidRDefault="007657D1" w:rsidP="007657D1">
      <w:pPr>
        <w:spacing w:before="120"/>
        <w:rPr>
          <w:smallCaps/>
          <w:sz w:val="18"/>
          <w:szCs w:val="20"/>
        </w:rPr>
      </w:pPr>
      <w:r w:rsidRPr="00127254">
        <w:rPr>
          <w:smallCaps/>
          <w:sz w:val="18"/>
          <w:szCs w:val="20"/>
        </w:rPr>
        <w:t>Obiettivi formativi che lo studente dovrebbe acquisire nel corso</w:t>
      </w:r>
    </w:p>
    <w:p w14:paraId="05C6BDF6" w14:textId="77777777" w:rsidR="007657D1" w:rsidRPr="00127254" w:rsidRDefault="007657D1" w:rsidP="007657D1">
      <w:pPr>
        <w:ind w:left="284" w:hanging="284"/>
        <w:rPr>
          <w:i/>
        </w:rPr>
      </w:pPr>
      <w:r w:rsidRPr="00127254">
        <w:t>1.</w:t>
      </w:r>
      <w:r w:rsidRPr="00127254">
        <w:tab/>
      </w:r>
      <w:r w:rsidRPr="00127254">
        <w:rPr>
          <w:i/>
        </w:rPr>
        <w:t>Opzioni su azioni.</w:t>
      </w:r>
    </w:p>
    <w:p w14:paraId="3472404A" w14:textId="77777777" w:rsidR="007657D1" w:rsidRPr="00127254" w:rsidRDefault="007657D1" w:rsidP="007657D1">
      <w:pPr>
        <w:ind w:left="284" w:hanging="284"/>
      </w:pPr>
      <w:r w:rsidRPr="00127254">
        <w:t>Al termine di questa parte del corso gli studenti saranno in grado di:</w:t>
      </w:r>
    </w:p>
    <w:p w14:paraId="1E191A05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l’andamento stocastico dei prezzi azionari.</w:t>
      </w:r>
    </w:p>
    <w:p w14:paraId="44080211" w14:textId="77777777" w:rsidR="007657D1" w:rsidRPr="00127254" w:rsidRDefault="007657D1" w:rsidP="007657D1">
      <w:pPr>
        <w:tabs>
          <w:tab w:val="left" w:pos="567"/>
        </w:tabs>
        <w:ind w:left="284"/>
      </w:pPr>
      <w:r w:rsidRPr="00127254">
        <w:t>*</w:t>
      </w:r>
      <w:r w:rsidRPr="00127254">
        <w:tab/>
        <w:t>Stimare il prezzo atteso di un’azione a un futuro istante temporale.</w:t>
      </w:r>
    </w:p>
    <w:p w14:paraId="02440E43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Applicare il modello di Black-Scholes-Merton per la valutazione delle opzioni europee su azioni (con e senza dividendi).</w:t>
      </w:r>
    </w:p>
    <w:p w14:paraId="07E3C9C7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Usare il metodo di Black per approssimare il valore di un’opzione call americana su azioni.</w:t>
      </w:r>
    </w:p>
    <w:p w14:paraId="48C09BEE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2.</w:t>
      </w:r>
      <w:r w:rsidRPr="00127254">
        <w:rPr>
          <w:i/>
        </w:rPr>
        <w:tab/>
        <w:t>Opzioni su indici azionari, valute e future.</w:t>
      </w:r>
    </w:p>
    <w:p w14:paraId="202AD29E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25DEC7CC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Usare le opzioni su indici per contenere il rischio di perdita su un portafoglio.</w:t>
      </w:r>
    </w:p>
    <w:p w14:paraId="6EA3B320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le opzioni europee su indici azionari.</w:t>
      </w:r>
    </w:p>
    <w:p w14:paraId="191BC08C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le opzioni europee su valute.</w:t>
      </w:r>
    </w:p>
    <w:p w14:paraId="58B68051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le opzioni europee su future usando gli alberi binomiali.</w:t>
      </w:r>
    </w:p>
    <w:p w14:paraId="6C658BE0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le opzioni europee su future usando il modello di Black.</w:t>
      </w:r>
    </w:p>
    <w:p w14:paraId="0EB3F229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3.</w:t>
      </w:r>
      <w:r w:rsidRPr="00127254">
        <w:rPr>
          <w:i/>
        </w:rPr>
        <w:tab/>
        <w:t>Lettere greche.</w:t>
      </w:r>
    </w:p>
    <w:p w14:paraId="285DC405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3035C557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il meccanismo del delta hedging.</w:t>
      </w:r>
    </w:p>
    <w:p w14:paraId="19E06610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e stimare delta, gamma, theta, rho, vega.</w:t>
      </w:r>
    </w:p>
    <w:p w14:paraId="50B823EA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4.</w:t>
      </w:r>
      <w:r w:rsidRPr="00127254">
        <w:rPr>
          <w:i/>
        </w:rPr>
        <w:tab/>
        <w:t>Volatility smile.</w:t>
      </w:r>
    </w:p>
    <w:p w14:paraId="4346B960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0B426AE6" w14:textId="77777777" w:rsidR="007657D1" w:rsidRPr="00127254" w:rsidRDefault="007657D1" w:rsidP="007657D1">
      <w:pPr>
        <w:ind w:left="284" w:hanging="284"/>
      </w:pPr>
      <w:r w:rsidRPr="00127254">
        <w:lastRenderedPageBreak/>
        <w:t>–</w:t>
      </w:r>
      <w:r w:rsidRPr="00127254">
        <w:tab/>
        <w:t>Comprendere come i trader usano il modello di Black-Scholes per estrarre segnali relativi alla volatilità.</w:t>
      </w:r>
    </w:p>
    <w:p w14:paraId="0E0BB6ED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come i trader usano la superficie di volatilità nel pricing.</w:t>
      </w:r>
    </w:p>
    <w:p w14:paraId="72754C81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5.</w:t>
      </w:r>
      <w:r w:rsidRPr="00127254">
        <w:rPr>
          <w:i/>
        </w:rPr>
        <w:tab/>
        <w:t>Procedure numeriche.</w:t>
      </w:r>
    </w:p>
    <w:p w14:paraId="1904E9BA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6C873798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il funzionamento della simulazione Monte Carlo.</w:t>
      </w:r>
    </w:p>
    <w:p w14:paraId="1A6CB6CF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Svolgere semplici simulazioni Monte Carlo.</w:t>
      </w:r>
    </w:p>
    <w:p w14:paraId="57ADEEF3" w14:textId="77777777" w:rsidR="007657D1" w:rsidRPr="00127254" w:rsidRDefault="007657D1" w:rsidP="007657D1">
      <w:pPr>
        <w:spacing w:before="120"/>
        <w:ind w:left="284" w:hanging="284"/>
      </w:pPr>
      <w:r w:rsidRPr="00127254">
        <w:t>6.</w:t>
      </w:r>
      <w:r w:rsidRPr="00127254">
        <w:tab/>
      </w:r>
      <w:r w:rsidRPr="00127254">
        <w:rPr>
          <w:i/>
        </w:rPr>
        <w:t>Stima della volatilità</w:t>
      </w:r>
      <w:r w:rsidRPr="00127254">
        <w:t>.</w:t>
      </w:r>
    </w:p>
    <w:p w14:paraId="46B4D29E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2200D848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Stimare la volatilità sulla base della deviazione standard rolling dei rendimenti storici.</w:t>
      </w:r>
    </w:p>
    <w:p w14:paraId="157616AE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i modelli autoregressivi per la stima della volatilità.</w:t>
      </w:r>
    </w:p>
    <w:p w14:paraId="6E50C07D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7.</w:t>
      </w:r>
      <w:r w:rsidRPr="00127254">
        <w:tab/>
      </w:r>
      <w:r w:rsidRPr="00127254">
        <w:rPr>
          <w:i/>
        </w:rPr>
        <w:t>Exotic options.</w:t>
      </w:r>
    </w:p>
    <w:p w14:paraId="2AF56CDA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245DC156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Conoscere diversi tipi di opzioni esotiche.</w:t>
      </w:r>
    </w:p>
    <w:p w14:paraId="3BCEC76D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Applicare le procedure numeriche per valutare alcuni tipi di opzioni esotiche.</w:t>
      </w:r>
    </w:p>
    <w:p w14:paraId="06C56982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8.</w:t>
      </w:r>
      <w:r w:rsidRPr="00127254">
        <w:tab/>
      </w:r>
      <w:r w:rsidRPr="00127254">
        <w:rPr>
          <w:i/>
        </w:rPr>
        <w:t>Derivati su tassi di interesse.</w:t>
      </w:r>
    </w:p>
    <w:p w14:paraId="5E6D4996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21ACE386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Conoscere le opzioni su obbligazioni, cap, floor e swaption.</w:t>
      </w:r>
    </w:p>
    <w:p w14:paraId="00A151F7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derivati su tassi di interesse sulla base di diversi modelli di pricing.</w:t>
      </w:r>
    </w:p>
    <w:p w14:paraId="47D232BE" w14:textId="77777777" w:rsidR="007657D1" w:rsidRPr="00127254" w:rsidRDefault="007657D1" w:rsidP="007657D1">
      <w:pPr>
        <w:ind w:left="567" w:hanging="283"/>
      </w:pPr>
      <w:r w:rsidRPr="00127254">
        <w:t>*</w:t>
      </w:r>
      <w:r w:rsidRPr="00127254">
        <w:tab/>
        <w:t>Il market model.</w:t>
      </w:r>
    </w:p>
    <w:p w14:paraId="65F17DD6" w14:textId="77777777" w:rsidR="007657D1" w:rsidRPr="00127254" w:rsidRDefault="007657D1" w:rsidP="007657D1">
      <w:pPr>
        <w:ind w:left="567" w:hanging="283"/>
      </w:pPr>
      <w:r w:rsidRPr="00127254">
        <w:t>*</w:t>
      </w:r>
      <w:r w:rsidRPr="00127254">
        <w:tab/>
        <w:t>Il modello del tasso a breve.</w:t>
      </w:r>
    </w:p>
    <w:p w14:paraId="7C7565BD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bookmarkStart w:id="6" w:name="_Hlk133699345"/>
      <w:r w:rsidRPr="00127254">
        <w:t>8.</w:t>
      </w:r>
      <w:r w:rsidRPr="00127254">
        <w:tab/>
      </w:r>
      <w:r w:rsidRPr="00127254">
        <w:rPr>
          <w:i/>
        </w:rPr>
        <w:t xml:space="preserve">Derivati </w:t>
      </w:r>
      <w:r>
        <w:rPr>
          <w:i/>
        </w:rPr>
        <w:t>energetici</w:t>
      </w:r>
      <w:r w:rsidRPr="00127254">
        <w:rPr>
          <w:i/>
        </w:rPr>
        <w:t>.</w:t>
      </w:r>
    </w:p>
    <w:p w14:paraId="3ECCEC2F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568DAFE6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 xml:space="preserve">Conoscere </w:t>
      </w:r>
      <w:r>
        <w:t>i principali derivati scritti su energia</w:t>
      </w:r>
      <w:r w:rsidRPr="00127254">
        <w:t>.</w:t>
      </w:r>
    </w:p>
    <w:p w14:paraId="14A1E8D1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</w:r>
      <w:r>
        <w:t>Conoscere i modelli per i prezzi delle merci</w:t>
      </w:r>
      <w:r w:rsidRPr="00127254">
        <w:t>.</w:t>
      </w:r>
    </w:p>
    <w:bookmarkEnd w:id="6"/>
    <w:p w14:paraId="226D60BC" w14:textId="5B9A770F" w:rsidR="007657D1" w:rsidRPr="00127254" w:rsidRDefault="007657D1" w:rsidP="007657D1">
      <w:pPr>
        <w:keepNext/>
        <w:spacing w:before="240" w:after="120"/>
        <w:rPr>
          <w:b/>
          <w:sz w:val="18"/>
        </w:rPr>
      </w:pPr>
      <w:r w:rsidRPr="00127254">
        <w:rPr>
          <w:b/>
          <w:i/>
          <w:sz w:val="18"/>
        </w:rPr>
        <w:t>BIBLIOGRAFIA</w:t>
      </w:r>
      <w:r w:rsidR="000238FE">
        <w:rPr>
          <w:rStyle w:val="Rimandonotaapidipagina"/>
          <w:b/>
          <w:i/>
          <w:sz w:val="18"/>
        </w:rPr>
        <w:footnoteReference w:id="1"/>
      </w:r>
    </w:p>
    <w:p w14:paraId="5924D8B9" w14:textId="2C42CBE7" w:rsidR="007657D1" w:rsidRPr="00127254" w:rsidRDefault="007657D1" w:rsidP="007657D1">
      <w:pPr>
        <w:tabs>
          <w:tab w:val="clear" w:pos="284"/>
        </w:tabs>
        <w:spacing w:before="120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127254">
        <w:rPr>
          <w:rFonts w:ascii="Times" w:hAnsi="Times"/>
          <w:smallCaps/>
          <w:noProof/>
          <w:spacing w:val="-5"/>
          <w:sz w:val="16"/>
          <w:szCs w:val="20"/>
        </w:rPr>
        <w:t>J.C. Hull,</w:t>
      </w:r>
      <w:r w:rsidRPr="00127254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 xml:space="preserve">2021 </w:t>
      </w:r>
      <w:r w:rsidRPr="00127254">
        <w:rPr>
          <w:rFonts w:ascii="Times" w:hAnsi="Times"/>
          <w:noProof/>
          <w:spacing w:val="-5"/>
          <w:sz w:val="18"/>
          <w:szCs w:val="20"/>
        </w:rPr>
        <w:t>(</w:t>
      </w:r>
      <w:r>
        <w:rPr>
          <w:rFonts w:ascii="Times" w:hAnsi="Times"/>
          <w:noProof/>
          <w:spacing w:val="-5"/>
          <w:sz w:val="18"/>
          <w:szCs w:val="20"/>
        </w:rPr>
        <w:t xml:space="preserve">undicesima </w:t>
      </w:r>
      <w:r w:rsidRPr="00127254">
        <w:rPr>
          <w:rFonts w:ascii="Times" w:hAnsi="Times"/>
          <w:noProof/>
          <w:spacing w:val="-5"/>
          <w:sz w:val="18"/>
          <w:szCs w:val="20"/>
        </w:rPr>
        <w:t>edizione)</w:t>
      </w:r>
      <w:r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127254">
        <w:rPr>
          <w:rFonts w:ascii="Times" w:hAnsi="Times"/>
          <w:i/>
          <w:noProof/>
          <w:spacing w:val="-5"/>
          <w:sz w:val="18"/>
          <w:szCs w:val="20"/>
        </w:rPr>
        <w:t>Opzioni,</w:t>
      </w:r>
      <w:r w:rsidRPr="00127254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127254">
        <w:rPr>
          <w:rFonts w:ascii="Times" w:hAnsi="Times"/>
          <w:i/>
          <w:noProof/>
          <w:spacing w:val="-5"/>
          <w:sz w:val="18"/>
          <w:szCs w:val="20"/>
        </w:rPr>
        <w:t>futures e altri derivati</w:t>
      </w:r>
      <w:r w:rsidRPr="00127254">
        <w:rPr>
          <w:rFonts w:ascii="Times" w:hAnsi="Times"/>
          <w:noProof/>
          <w:spacing w:val="-5"/>
          <w:sz w:val="18"/>
          <w:szCs w:val="20"/>
        </w:rPr>
        <w:t xml:space="preserve">, </w:t>
      </w:r>
      <w:bookmarkStart w:id="7" w:name="_Hlk40522877"/>
      <w:r w:rsidRPr="00127254">
        <w:rPr>
          <w:rFonts w:ascii="Times" w:hAnsi="Times"/>
          <w:noProof/>
          <w:spacing w:val="-5"/>
          <w:sz w:val="18"/>
          <w:szCs w:val="20"/>
        </w:rPr>
        <w:t>Pearson, Milano (capitoli 14, 15, 17, 18, 19, 20, 21, 25, 26, 29, 31</w:t>
      </w:r>
      <w:r>
        <w:rPr>
          <w:rFonts w:ascii="Times" w:hAnsi="Times"/>
          <w:noProof/>
          <w:spacing w:val="-5"/>
          <w:sz w:val="18"/>
          <w:szCs w:val="20"/>
        </w:rPr>
        <w:t>, 35</w:t>
      </w:r>
      <w:r w:rsidRPr="00127254">
        <w:rPr>
          <w:rFonts w:ascii="Times" w:hAnsi="Times"/>
          <w:noProof/>
          <w:spacing w:val="-5"/>
          <w:sz w:val="18"/>
          <w:szCs w:val="20"/>
        </w:rPr>
        <w:t>)</w:t>
      </w:r>
      <w:bookmarkEnd w:id="7"/>
      <w:r w:rsidRPr="00127254">
        <w:rPr>
          <w:rFonts w:ascii="Times" w:hAnsi="Times"/>
          <w:noProof/>
          <w:spacing w:val="-5"/>
          <w:sz w:val="18"/>
          <w:szCs w:val="20"/>
        </w:rPr>
        <w:t xml:space="preserve">. </w:t>
      </w:r>
      <w:r w:rsidR="000238F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0238FE" w:rsidRPr="000238F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59B1588" w14:textId="5FED8BE8" w:rsidR="007657D1" w:rsidRPr="00127254" w:rsidRDefault="007657D1" w:rsidP="007657D1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Materiale integrativo (diapositive, file Excel, documentazione supplementare, ecc.) sarà messo a disposizione attraverso la piattaforma Blackboard.</w:t>
      </w:r>
    </w:p>
    <w:p w14:paraId="59960AED" w14:textId="77777777" w:rsidR="007657D1" w:rsidRPr="00127254" w:rsidRDefault="007657D1" w:rsidP="007657D1">
      <w:pPr>
        <w:spacing w:before="240" w:after="120" w:line="220" w:lineRule="exact"/>
        <w:rPr>
          <w:b/>
          <w:i/>
          <w:sz w:val="18"/>
        </w:rPr>
      </w:pPr>
      <w:r w:rsidRPr="00127254">
        <w:rPr>
          <w:b/>
          <w:i/>
          <w:sz w:val="18"/>
        </w:rPr>
        <w:t>DIDATTICA DEL CORSO</w:t>
      </w:r>
    </w:p>
    <w:p w14:paraId="6C2DFE23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127254">
        <w:rPr>
          <w:rFonts w:ascii="Times" w:hAnsi="Times"/>
          <w:noProof/>
          <w:sz w:val="18"/>
          <w:szCs w:val="18"/>
        </w:rPr>
        <w:lastRenderedPageBreak/>
        <w:t>Il Corso prevede didattica frontale (70% del corso) ed esercitazioni (30%).</w:t>
      </w:r>
    </w:p>
    <w:p w14:paraId="3B7B6EF7" w14:textId="77777777" w:rsidR="007657D1" w:rsidRPr="00127254" w:rsidRDefault="007657D1" w:rsidP="007657D1">
      <w:pPr>
        <w:spacing w:before="240" w:after="120" w:line="220" w:lineRule="exact"/>
        <w:rPr>
          <w:b/>
          <w:i/>
          <w:sz w:val="18"/>
        </w:rPr>
      </w:pPr>
      <w:r w:rsidRPr="00127254">
        <w:rPr>
          <w:b/>
          <w:i/>
          <w:sz w:val="18"/>
        </w:rPr>
        <w:t>METODO E CRITERI DI VALUTAZIONE</w:t>
      </w:r>
    </w:p>
    <w:p w14:paraId="095CC317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 xml:space="preserve">Per quanto riguarda i metodi di accertamento dell’apprendimento, la verifica della preparazione degli studenti avverrà con esame scritto composto solitamente da tre domande aperte, articolate in sotto-domande. </w:t>
      </w:r>
    </w:p>
    <w:p w14:paraId="46B4F62A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Per quanto riguarda i criteri di valutazione, a ciascuna domanda corrisponderà un voto parziale. Il voto finale dell’esame sarà dato dall’aggregazione dei voti parziali. Non è prevista una prova orale. La durata della prova scritta è compresa tra 60 e 90 minuti. Le domande si riferiscono ai concetti, agli esempi, ai modelli trattati nel corso e possono anche richiedere la soluzione di esercizi numerici.</w:t>
      </w:r>
    </w:p>
    <w:p w14:paraId="27547490" w14:textId="77777777" w:rsidR="007657D1" w:rsidRPr="00127254" w:rsidRDefault="007657D1" w:rsidP="007657D1">
      <w:pPr>
        <w:spacing w:before="240" w:after="120"/>
        <w:rPr>
          <w:b/>
          <w:i/>
          <w:sz w:val="18"/>
        </w:rPr>
      </w:pPr>
      <w:r w:rsidRPr="00127254">
        <w:rPr>
          <w:b/>
          <w:i/>
          <w:sz w:val="18"/>
        </w:rPr>
        <w:t>AVVERTENZE E PREREQUISITI</w:t>
      </w:r>
    </w:p>
    <w:p w14:paraId="5743B1B7" w14:textId="77777777" w:rsidR="007657D1" w:rsidRPr="00127254" w:rsidRDefault="007657D1" w:rsidP="007657D1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127254">
        <w:rPr>
          <w:rFonts w:ascii="Times" w:hAnsi="Times"/>
          <w:i/>
          <w:noProof/>
          <w:sz w:val="18"/>
          <w:szCs w:val="20"/>
        </w:rPr>
        <w:t>Prerequisiti</w:t>
      </w:r>
    </w:p>
    <w:p w14:paraId="5B058BD3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Obiettivi formativi che lo studente dovrebbe aver raggiunto prima di accedere al corso</w:t>
      </w:r>
    </w:p>
    <w:p w14:paraId="7ED20F64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Prima del corso gli studenti dovrebbero:</w:t>
      </w:r>
    </w:p>
    <w:p w14:paraId="5BA56530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–</w:t>
      </w:r>
      <w:r w:rsidRPr="00127254">
        <w:rPr>
          <w:rFonts w:ascii="Times" w:hAnsi="Times"/>
          <w:noProof/>
          <w:sz w:val="18"/>
          <w:szCs w:val="20"/>
        </w:rPr>
        <w:tab/>
        <w:t>possedere una conoscenza base di future, opzioni e swap.</w:t>
      </w:r>
    </w:p>
    <w:p w14:paraId="7327D7FF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–</w:t>
      </w:r>
      <w:r w:rsidRPr="00127254">
        <w:rPr>
          <w:rFonts w:ascii="Times" w:hAnsi="Times"/>
          <w:noProof/>
          <w:sz w:val="18"/>
          <w:szCs w:val="20"/>
        </w:rPr>
        <w:tab/>
        <w:t>conoscere le basi di statistica inferenziale.</w:t>
      </w:r>
    </w:p>
    <w:p w14:paraId="5A96519D" w14:textId="77777777" w:rsidR="007657D1" w:rsidRPr="00127254" w:rsidRDefault="007657D1" w:rsidP="007657D1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127254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53C5D72A" w14:textId="2BBDECE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 xml:space="preserve">Il Prof. Giovanni Petrella riceve gli studenti </w:t>
      </w:r>
      <w:r>
        <w:rPr>
          <w:rFonts w:ascii="Times" w:hAnsi="Times"/>
          <w:noProof/>
          <w:sz w:val="18"/>
          <w:szCs w:val="20"/>
        </w:rPr>
        <w:t xml:space="preserve">secondo le modalità indicate </w:t>
      </w:r>
      <w:r w:rsidRPr="00127254">
        <w:rPr>
          <w:rFonts w:ascii="Times" w:hAnsi="Times"/>
          <w:noProof/>
          <w:sz w:val="18"/>
          <w:szCs w:val="20"/>
        </w:rPr>
        <w:t xml:space="preserve">alla pagina web del docente </w:t>
      </w:r>
      <w:hyperlink r:id="rId9" w:history="1">
        <w:r w:rsidR="008F4A23" w:rsidRPr="00F876CA">
          <w:rPr>
            <w:rStyle w:val="Collegamentoipertestuale"/>
            <w:rFonts w:ascii="Times" w:hAnsi="Times"/>
            <w:noProof/>
            <w:sz w:val="18"/>
            <w:szCs w:val="20"/>
          </w:rPr>
          <w:t>http://docenti.unicatt.it/ita/giovanni_petrella</w:t>
        </w:r>
      </w:hyperlink>
      <w:r w:rsidRPr="00127254">
        <w:rPr>
          <w:rFonts w:ascii="Times" w:hAnsi="Times"/>
          <w:noProof/>
          <w:sz w:val="18"/>
          <w:szCs w:val="20"/>
        </w:rPr>
        <w:t>.</w:t>
      </w:r>
    </w:p>
    <w:sectPr w:rsidR="007657D1" w:rsidRPr="001272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12DD" w14:textId="77777777" w:rsidR="005F6656" w:rsidRDefault="005F6656" w:rsidP="00127254">
      <w:pPr>
        <w:spacing w:line="240" w:lineRule="auto"/>
      </w:pPr>
      <w:r>
        <w:separator/>
      </w:r>
    </w:p>
  </w:endnote>
  <w:endnote w:type="continuationSeparator" w:id="0">
    <w:p w14:paraId="351BA146" w14:textId="77777777" w:rsidR="005F6656" w:rsidRDefault="005F6656" w:rsidP="00127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D42B" w14:textId="77777777" w:rsidR="005F6656" w:rsidRDefault="005F6656" w:rsidP="00127254">
      <w:pPr>
        <w:spacing w:line="240" w:lineRule="auto"/>
      </w:pPr>
      <w:r>
        <w:separator/>
      </w:r>
    </w:p>
  </w:footnote>
  <w:footnote w:type="continuationSeparator" w:id="0">
    <w:p w14:paraId="154B22FD" w14:textId="77777777" w:rsidR="005F6656" w:rsidRDefault="005F6656" w:rsidP="00127254">
      <w:pPr>
        <w:spacing w:line="240" w:lineRule="auto"/>
      </w:pPr>
      <w:r>
        <w:continuationSeparator/>
      </w:r>
    </w:p>
  </w:footnote>
  <w:footnote w:id="1">
    <w:p w14:paraId="4FD660CD" w14:textId="7B6563BB" w:rsidR="000238FE" w:rsidRDefault="000238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E8"/>
    <w:multiLevelType w:val="hybridMultilevel"/>
    <w:tmpl w:val="7C3EC286"/>
    <w:lvl w:ilvl="0" w:tplc="607A800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A53"/>
    <w:multiLevelType w:val="hybridMultilevel"/>
    <w:tmpl w:val="8A209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4C80E">
      <w:start w:val="2"/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517"/>
    <w:multiLevelType w:val="hybridMultilevel"/>
    <w:tmpl w:val="0950C72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5463"/>
    <w:multiLevelType w:val="hybridMultilevel"/>
    <w:tmpl w:val="43C443C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14F"/>
    <w:multiLevelType w:val="hybridMultilevel"/>
    <w:tmpl w:val="F5AAFC38"/>
    <w:lvl w:ilvl="0" w:tplc="8FE490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3114"/>
    <w:multiLevelType w:val="hybridMultilevel"/>
    <w:tmpl w:val="FB18783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C2B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47234">
    <w:abstractNumId w:val="3"/>
  </w:num>
  <w:num w:numId="2" w16cid:durableId="238058724">
    <w:abstractNumId w:val="1"/>
  </w:num>
  <w:num w:numId="3" w16cid:durableId="1907102401">
    <w:abstractNumId w:val="2"/>
  </w:num>
  <w:num w:numId="4" w16cid:durableId="417219172">
    <w:abstractNumId w:val="4"/>
  </w:num>
  <w:num w:numId="5" w16cid:durableId="1504780161">
    <w:abstractNumId w:val="5"/>
  </w:num>
  <w:num w:numId="6" w16cid:durableId="88155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D4"/>
    <w:rsid w:val="000227B2"/>
    <w:rsid w:val="000238FE"/>
    <w:rsid w:val="00077F47"/>
    <w:rsid w:val="00127254"/>
    <w:rsid w:val="00187B99"/>
    <w:rsid w:val="001E1A32"/>
    <w:rsid w:val="00200ED4"/>
    <w:rsid w:val="002014DD"/>
    <w:rsid w:val="002D5E17"/>
    <w:rsid w:val="00336F60"/>
    <w:rsid w:val="003E5DF6"/>
    <w:rsid w:val="00426B08"/>
    <w:rsid w:val="00486CA4"/>
    <w:rsid w:val="004D1217"/>
    <w:rsid w:val="004D6008"/>
    <w:rsid w:val="005F6656"/>
    <w:rsid w:val="00627897"/>
    <w:rsid w:val="00640794"/>
    <w:rsid w:val="006C4692"/>
    <w:rsid w:val="006F1772"/>
    <w:rsid w:val="007657D1"/>
    <w:rsid w:val="00882A26"/>
    <w:rsid w:val="008942E7"/>
    <w:rsid w:val="008A1204"/>
    <w:rsid w:val="008B1BE7"/>
    <w:rsid w:val="008B6D55"/>
    <w:rsid w:val="008F4A23"/>
    <w:rsid w:val="00900CCA"/>
    <w:rsid w:val="00924B77"/>
    <w:rsid w:val="00940DA2"/>
    <w:rsid w:val="009726D7"/>
    <w:rsid w:val="009E055C"/>
    <w:rsid w:val="00A23054"/>
    <w:rsid w:val="00A74F6F"/>
    <w:rsid w:val="00AD7557"/>
    <w:rsid w:val="00B317C0"/>
    <w:rsid w:val="00B50C5D"/>
    <w:rsid w:val="00B51253"/>
    <w:rsid w:val="00B525CC"/>
    <w:rsid w:val="00B66763"/>
    <w:rsid w:val="00C03215"/>
    <w:rsid w:val="00CB3614"/>
    <w:rsid w:val="00D404F2"/>
    <w:rsid w:val="00DA404B"/>
    <w:rsid w:val="00E22A02"/>
    <w:rsid w:val="00E607E6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8FF47"/>
  <w15:docId w15:val="{5C2D6802-D3BF-4AD5-B233-8001733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7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227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272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7254"/>
  </w:style>
  <w:style w:type="character" w:styleId="Rimandonotaapidipagina">
    <w:name w:val="footnote reference"/>
    <w:basedOn w:val="Carpredefinitoparagrafo"/>
    <w:rsid w:val="00127254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2725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2725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127254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1272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opzioni%20futures%20e%20altri%20derivati%20myl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ita/giovanni_petrell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C088-D894-4E2B-98A6-AB80D7EE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2023-05-01T11:03:00Z</dcterms:created>
  <dcterms:modified xsi:type="dcterms:W3CDTF">2023-06-26T08:59:00Z</dcterms:modified>
</cp:coreProperties>
</file>