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36E8" w14:textId="77777777" w:rsidR="00731A8A" w:rsidRPr="00914A7E" w:rsidRDefault="00731A8A" w:rsidP="00731A8A">
      <w:pPr>
        <w:pStyle w:val="Titolo1"/>
      </w:pPr>
      <w:r w:rsidRPr="00914A7E">
        <w:t>Ragioneria</w:t>
      </w:r>
    </w:p>
    <w:p w14:paraId="3BE961E2" w14:textId="77777777" w:rsidR="00731A8A" w:rsidRPr="00731A8A" w:rsidRDefault="00731A8A" w:rsidP="00731A8A">
      <w:pPr>
        <w:pStyle w:val="Titolo2"/>
      </w:pPr>
      <w:r w:rsidRPr="00731A8A">
        <w:t xml:space="preserve">Prof. </w:t>
      </w:r>
      <w:r w:rsidR="0095535B">
        <w:t xml:space="preserve">Alessandro </w:t>
      </w:r>
      <w:r w:rsidR="00161CC9">
        <w:t>P</w:t>
      </w:r>
      <w:r w:rsidR="0095535B">
        <w:t>anno</w:t>
      </w:r>
      <w:r w:rsidR="007948D2">
        <w:t>;</w:t>
      </w:r>
      <w:r w:rsidR="007948D2" w:rsidRPr="007948D2">
        <w:t xml:space="preserve"> </w:t>
      </w:r>
      <w:r w:rsidR="007948D2">
        <w:t>Prof.</w:t>
      </w:r>
      <w:r w:rsidR="0095535B">
        <w:t xml:space="preserve">ssa </w:t>
      </w:r>
      <w:r w:rsidRPr="00731A8A">
        <w:t>Roberta Cerato</w:t>
      </w:r>
    </w:p>
    <w:p w14:paraId="035D01D5" w14:textId="77777777" w:rsidR="002D5E17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1BFCFB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di sviluppare la conoscenza della logica di formazione del bilancio di esercizio, nella prospettiva sia della normativa civilistica e dei principi contabili italiani sia dei principi contabili internazionali. In tale contesto, l’obiettivo del corso è quello di far maturare la consapevolezza che il processo di determinazione del reddito e del capitale di bilancio implica un complesso ragionamento economico sulla gestione d’impresa, strumentale a coglierne le condizioni di equilibrio economico, finanziario e patrimoniale.</w:t>
      </w:r>
    </w:p>
    <w:p w14:paraId="26C4F04B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altresì di far acquisire allo studente le competenze necessarie per saper autonomamente affrontare, sul piano applicativo, problemi concreti attinenti la redazione del bilancio. In tale prospettiva, i diversi argomenti in programma sono sviluppati anche presentando esercizi, casi aziendali ed esempi costruiti sulla base di situazioni reali.</w:t>
      </w:r>
    </w:p>
    <w:p w14:paraId="6C432F2E" w14:textId="77777777" w:rsidR="00731A8A" w:rsidRDefault="005A4BCD" w:rsidP="00731A8A">
      <w:r>
        <w:t>Al termine del</w:t>
      </w:r>
      <w:r w:rsidR="004D0F1B">
        <w:t xml:space="preserve"> corso, </w:t>
      </w:r>
      <w:r>
        <w:t>l</w:t>
      </w:r>
      <w:r w:rsidR="00731A8A">
        <w:t>o studente dovrebbe acquisi</w:t>
      </w:r>
      <w:r w:rsidR="007948D2">
        <w:t>re</w:t>
      </w:r>
      <w:r>
        <w:t xml:space="preserve"> </w:t>
      </w:r>
      <w:r w:rsidR="00731A8A">
        <w:t>adeguate conoscenze in merito a:</w:t>
      </w:r>
    </w:p>
    <w:p w14:paraId="6875F1EB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la normativa civilistica e i principi contabili italiani;</w:t>
      </w:r>
    </w:p>
    <w:p w14:paraId="0FCEA81B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i principi contabili internazionali;</w:t>
      </w:r>
    </w:p>
    <w:p w14:paraId="0613BE39" w14:textId="77777777" w:rsidR="00731A8A" w:rsidRDefault="00731A8A" w:rsidP="00731A8A">
      <w:pPr>
        <w:ind w:left="284" w:hanging="284"/>
      </w:pPr>
      <w:r>
        <w:t>–</w:t>
      </w:r>
      <w:r>
        <w:tab/>
        <w:t>i più rilevanti giudizi di valore funzionali alla redazione del bilancio sia secondo la normativa civilistica e i principi contabili italiani sia secondo i principi contabili internazionali;</w:t>
      </w:r>
    </w:p>
    <w:p w14:paraId="3E753CD7" w14:textId="77777777" w:rsidR="00731A8A" w:rsidRDefault="00731A8A" w:rsidP="00731A8A">
      <w:pPr>
        <w:ind w:left="284" w:hanging="284"/>
      </w:pPr>
      <w:r>
        <w:t>–</w:t>
      </w:r>
      <w:r>
        <w:tab/>
        <w:t>i principali profili fiscali connessi alla costruzione del bilancio di esercizio;</w:t>
      </w:r>
    </w:p>
    <w:p w14:paraId="32ABDD6C" w14:textId="77777777" w:rsidR="00731A8A" w:rsidRDefault="00731A8A" w:rsidP="00731A8A">
      <w:pPr>
        <w:ind w:left="284" w:hanging="284"/>
      </w:pPr>
      <w:r>
        <w:t>–</w:t>
      </w:r>
      <w:r>
        <w:tab/>
        <w:t>i fondamenti essenziali del bilancio consolidato di gruppo.</w:t>
      </w:r>
    </w:p>
    <w:p w14:paraId="065A3F7F" w14:textId="77777777" w:rsidR="00731A8A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4294A5" w14:textId="77777777" w:rsidR="00731A8A" w:rsidRPr="007948D2" w:rsidRDefault="00731A8A" w:rsidP="004349E6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4349E6">
        <w:rPr>
          <w:rFonts w:eastAsia="MS Mincho"/>
          <w:i/>
        </w:rPr>
        <w:t>Teoria generale del bilancio esercizio.</w:t>
      </w:r>
    </w:p>
    <w:p w14:paraId="484D6FE8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modello economico-finanziario di bilancio.</w:t>
      </w:r>
    </w:p>
    <w:p w14:paraId="5DCAFBAF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reddito di esercizio e il capitale di funzionamento.</w:t>
      </w:r>
    </w:p>
    <w:p w14:paraId="4F2651B3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L’oggetto e le funzioni del bilancio di esercizio.</w:t>
      </w:r>
    </w:p>
    <w:p w14:paraId="0C1913CD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La disciplina del bilancio di esercizio in Italia.</w:t>
      </w:r>
    </w:p>
    <w:p w14:paraId="391955CC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fonti della disciplina sul bilancio in Italia.</w:t>
      </w:r>
    </w:p>
    <w:p w14:paraId="1BFD410A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modello di bilancio secondo la disciplina codicistica nazionale e i principi contabili internazionali.</w:t>
      </w:r>
    </w:p>
    <w:p w14:paraId="5DB4CC83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lastRenderedPageBreak/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normativa fiscale (cenni).</w:t>
      </w:r>
    </w:p>
    <w:p w14:paraId="7C169A0C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 documenti del sistema informativo di bilancio.</w:t>
      </w:r>
    </w:p>
    <w:p w14:paraId="0A20C41C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strutture e il contenuto degli schemi di bilancio.</w:t>
      </w:r>
    </w:p>
    <w:p w14:paraId="2610227E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Gli schemi di stato patrimoniale e di conto economico.</w:t>
      </w:r>
    </w:p>
    <w:p w14:paraId="5407F7B7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rendiconto finanziario.</w:t>
      </w:r>
    </w:p>
    <w:p w14:paraId="50B70D4F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nota integrativa e la relazione sulla gestione.</w:t>
      </w:r>
    </w:p>
    <w:p w14:paraId="198663C5" w14:textId="77777777" w:rsidR="007948D2" w:rsidRDefault="007948D2" w:rsidP="007948D2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ettura di bilanci di esercizio civilistici e IAS/IFRS.</w:t>
      </w:r>
    </w:p>
    <w:p w14:paraId="53AE4EC3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Le valutazioni nel bilancio di esercizio.</w:t>
      </w:r>
    </w:p>
    <w:p w14:paraId="611072A5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dell’attivo: le immobilizzazioni materiali e immateriali, i titoli e le partecipazioni, le rimanenze, i lavori in corso su ordinazione, i crediti.</w:t>
      </w:r>
    </w:p>
    <w:p w14:paraId="4F0AFBAF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 passivo: i debiti; i fondi per rischi e oneri.</w:t>
      </w:r>
    </w:p>
    <w:p w14:paraId="736636F2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a determinazione delle imposte correnti, differite e anticipate</w:t>
      </w:r>
      <w:r w:rsidRPr="00914A7E">
        <w:rPr>
          <w:rFonts w:eastAsia="MS Mincho"/>
        </w:rPr>
        <w:t>.</w:t>
      </w:r>
    </w:p>
    <w:p w14:paraId="3356E1F8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5.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Introduzione al bilancio consolidato.</w:t>
      </w:r>
    </w:p>
    <w:p w14:paraId="2727AAE8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bilancio consolidato di gruppo; oggetto, significato, finalità.</w:t>
      </w:r>
    </w:p>
    <w:p w14:paraId="37D44885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L’area e i metodi di consolidamento.</w:t>
      </w:r>
    </w:p>
    <w:p w14:paraId="65EEDFAB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La natura e il trattamento contabile delle differenze di consolidamento.</w:t>
      </w:r>
    </w:p>
    <w:p w14:paraId="18079CA8" w14:textId="61717C08" w:rsidR="00731A8A" w:rsidRPr="00395547" w:rsidRDefault="00731A8A" w:rsidP="00395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10C6D">
        <w:rPr>
          <w:rStyle w:val="Rimandonotaapidipagina"/>
          <w:b/>
          <w:i/>
          <w:sz w:val="18"/>
        </w:rPr>
        <w:footnoteReference w:id="1"/>
      </w:r>
    </w:p>
    <w:p w14:paraId="7711A455" w14:textId="60FD458A" w:rsidR="00731A8A" w:rsidRPr="004154A6" w:rsidRDefault="00731A8A" w:rsidP="00F963BD">
      <w:pPr>
        <w:pStyle w:val="Testo1"/>
        <w:spacing w:before="0"/>
      </w:pPr>
      <w:r w:rsidRPr="004154A6">
        <w:rPr>
          <w:smallCaps/>
        </w:rPr>
        <w:t xml:space="preserve">A. Palma </w:t>
      </w:r>
      <w:r w:rsidRPr="004154A6">
        <w:t>(a cura di),</w:t>
      </w:r>
      <w:r w:rsidRPr="004154A6">
        <w:rPr>
          <w:i/>
        </w:rPr>
        <w:t xml:space="preserve"> Il bilancio di esercizio,</w:t>
      </w:r>
      <w:r w:rsidRPr="004154A6">
        <w:t xml:space="preserve"> Giuffrè, Milano, </w:t>
      </w:r>
      <w:r w:rsidR="00FD0B49" w:rsidRPr="004154A6">
        <w:t>2022</w:t>
      </w:r>
      <w:r w:rsidRPr="004154A6">
        <w:t>.</w:t>
      </w:r>
      <w:r w:rsidR="00F10C6D">
        <w:t xml:space="preserve"> </w:t>
      </w:r>
      <w:hyperlink r:id="rId8" w:history="1">
        <w:r w:rsidR="00F10C6D" w:rsidRPr="00F10C6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ADA3FC5" w14:textId="4FB3E94E" w:rsidR="00731A8A" w:rsidRPr="004154A6" w:rsidRDefault="00731A8A" w:rsidP="00F963BD">
      <w:pPr>
        <w:pStyle w:val="Testo1"/>
        <w:spacing w:before="0"/>
      </w:pPr>
      <w:r w:rsidRPr="004154A6">
        <w:rPr>
          <w:smallCaps/>
        </w:rPr>
        <w:t xml:space="preserve">R. Stacchezzini </w:t>
      </w:r>
      <w:r w:rsidRPr="004154A6">
        <w:t>(a cura di),</w:t>
      </w:r>
      <w:r w:rsidRPr="004154A6">
        <w:rPr>
          <w:i/>
        </w:rPr>
        <w:t xml:space="preserve"> </w:t>
      </w:r>
      <w:r w:rsidR="007948D2" w:rsidRPr="004154A6">
        <w:rPr>
          <w:i/>
        </w:rPr>
        <w:t>Bilancio d’impresa. Esercizi svolti,</w:t>
      </w:r>
      <w:r w:rsidR="007948D2" w:rsidRPr="004154A6">
        <w:t xml:space="preserve"> Egea, Milano, 2018.</w:t>
      </w:r>
      <w:r w:rsidR="00F10C6D">
        <w:t xml:space="preserve"> </w:t>
      </w:r>
      <w:hyperlink r:id="rId9" w:history="1">
        <w:r w:rsidR="00F10C6D" w:rsidRPr="00F10C6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CD622D" w14:textId="77777777" w:rsidR="00731A8A" w:rsidRPr="00146D14" w:rsidRDefault="00731A8A" w:rsidP="0095535B">
      <w:pPr>
        <w:pStyle w:val="Testo1"/>
        <w:spacing w:before="0"/>
        <w:ind w:left="0" w:firstLine="0"/>
        <w:rPr>
          <w:rFonts w:ascii="Times New Roman" w:hAnsi="Times New Roman"/>
        </w:rPr>
      </w:pPr>
      <w:r w:rsidRPr="004154A6">
        <w:rPr>
          <w:rFonts w:ascii="Times New Roman" w:hAnsi="Times New Roman"/>
        </w:rPr>
        <w:t>La preparazione all’esame si completa con il materiale messo a disposizione degli studenti</w:t>
      </w:r>
      <w:r w:rsidRPr="00146D14">
        <w:rPr>
          <w:rFonts w:ascii="Times New Roman" w:hAnsi="Times New Roman"/>
        </w:rPr>
        <w:t xml:space="preserve"> attraverso la piattaforma Blackboard (slides delle lezioni e altra documentazione).</w:t>
      </w:r>
    </w:p>
    <w:p w14:paraId="5F3C2AB1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3EBA0B" w14:textId="77777777" w:rsidR="00731A8A" w:rsidRPr="00146D14" w:rsidRDefault="00731A8A" w:rsidP="0095535B">
      <w:pPr>
        <w:pStyle w:val="Testo2"/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Il corso si articola in un ciclo di lezioni svolte con l’ausilio di slides e di altro materiale di supporto. Le slides sono messe a disposizione degli studenti attraverso la piattaforma Blackboard prima di ciascuna lezione.</w:t>
      </w:r>
    </w:p>
    <w:p w14:paraId="5B74077E" w14:textId="77777777" w:rsidR="00731A8A" w:rsidRPr="00146D14" w:rsidRDefault="00731A8A" w:rsidP="0095535B">
      <w:pPr>
        <w:pStyle w:val="Testo2"/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In parallelo alle lezioni sarà tenuto un ciclo organico di esercitazioni strumentali all’approfondimento dei principi di redazione e dei criteri di valutazione di bilancio. Durante il corso si farà riferimento a casi concreti tratti da reali bilanci aziendali. Il testo di ciascuna esercitazione è messo a disposizione degli studenti attraverso la piattaforma Blackboard prima della relativa soluzione.</w:t>
      </w:r>
    </w:p>
    <w:p w14:paraId="0D506244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FD676FC" w14:textId="77777777" w:rsidR="00731A8A" w:rsidRPr="00146D14" w:rsidRDefault="00731A8A" w:rsidP="0095535B">
      <w:pPr>
        <w:pStyle w:val="Testo2"/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lastRenderedPageBreak/>
        <w:t>È previsto lo svolgimento di una prova intermedia, il cui eventuale esito positivo consente il superamento di un terzo dell</w:t>
      </w:r>
      <w:r w:rsidR="0095535B">
        <w:rPr>
          <w:rFonts w:ascii="Times New Roman" w:hAnsi="Times New Roman"/>
        </w:rPr>
        <w:t>’</w:t>
      </w:r>
      <w:r w:rsidRPr="00146D14">
        <w:rPr>
          <w:rFonts w:ascii="Times New Roman" w:hAnsi="Times New Roman"/>
        </w:rPr>
        <w:t>esame, con un peso pari a un terzo rispetto al voto finale, con la conseguenza che il programma di cui alla prova intermedia non sarà riproposto nella prova finale. La prova intermedia è strutturata in domande a risposte multiple (di carattre sia teorico-generale sia applicativo-quantitativo). L’eventuale esito positivo conseguito nella prova intermedia può essere fatto valere solo ne</w:t>
      </w:r>
      <w:r w:rsidR="005A4BCD" w:rsidRPr="00146D14">
        <w:rPr>
          <w:rFonts w:ascii="Times New Roman" w:hAnsi="Times New Roman"/>
        </w:rPr>
        <w:t>ll’</w:t>
      </w:r>
      <w:r w:rsidRPr="00146D14">
        <w:rPr>
          <w:rFonts w:ascii="Times New Roman" w:hAnsi="Times New Roman"/>
        </w:rPr>
        <w:t>appell</w:t>
      </w:r>
      <w:r w:rsidR="005A4BCD" w:rsidRPr="00146D14">
        <w:rPr>
          <w:rFonts w:ascii="Times New Roman" w:hAnsi="Times New Roman"/>
        </w:rPr>
        <w:t>o</w:t>
      </w:r>
      <w:r w:rsidRPr="00146D14">
        <w:rPr>
          <w:rFonts w:ascii="Times New Roman" w:hAnsi="Times New Roman"/>
        </w:rPr>
        <w:t xml:space="preserve"> della prima sessione d’esam</w:t>
      </w:r>
      <w:r w:rsidR="005A4BCD" w:rsidRPr="00146D14">
        <w:rPr>
          <w:rFonts w:ascii="Times New Roman" w:hAnsi="Times New Roman"/>
        </w:rPr>
        <w:t>e</w:t>
      </w:r>
      <w:r w:rsidRPr="00146D14">
        <w:rPr>
          <w:rFonts w:ascii="Times New Roman" w:hAnsi="Times New Roman"/>
        </w:rPr>
        <w:t xml:space="preserve"> immediatamente successiva.</w:t>
      </w:r>
    </w:p>
    <w:p w14:paraId="419F88CC" w14:textId="77777777" w:rsidR="00731A8A" w:rsidRPr="00146D14" w:rsidRDefault="00731A8A" w:rsidP="0095535B">
      <w:pPr>
        <w:pStyle w:val="Testo2"/>
        <w:tabs>
          <w:tab w:val="clear" w:pos="284"/>
          <w:tab w:val="left" w:pos="0"/>
        </w:tabs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Se lo studente non sostiene o non supera la prova intermedia, deve sostenere una prova generale che verte sul programma integrale.</w:t>
      </w:r>
    </w:p>
    <w:p w14:paraId="204FDF7D" w14:textId="77777777" w:rsidR="00731A8A" w:rsidRPr="00146D14" w:rsidRDefault="00731A8A" w:rsidP="0095535B">
      <w:pPr>
        <w:pStyle w:val="Testo2"/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 xml:space="preserve">L’esame integrale è strutturato in una prova scritta, articolata in tre parti: la prima parte è strutturata in domande a risposte multiple (di carattre sia teorico-generale sia applicativo-quantitativo) relative ai punti 1, 2, 3 del programma; la seconda parte </w:t>
      </w:r>
      <w:r w:rsidR="0095535B">
        <w:rPr>
          <w:rFonts w:ascii="Times New Roman" w:hAnsi="Times New Roman"/>
        </w:rPr>
        <w:t xml:space="preserve">è </w:t>
      </w:r>
      <w:r w:rsidR="0095535B" w:rsidRPr="00146D14">
        <w:rPr>
          <w:rFonts w:ascii="Times New Roman" w:hAnsi="Times New Roman"/>
        </w:rPr>
        <w:t xml:space="preserve">strutturata in domande a risposte multiple (di carattre sia teorico-generale sia applicativo-quantitativo) relative ai punti </w:t>
      </w:r>
      <w:r w:rsidR="0095535B">
        <w:rPr>
          <w:rFonts w:ascii="Times New Roman" w:hAnsi="Times New Roman"/>
        </w:rPr>
        <w:t>4 e 5</w:t>
      </w:r>
      <w:r w:rsidR="0095535B" w:rsidRPr="00146D14">
        <w:rPr>
          <w:rFonts w:ascii="Times New Roman" w:hAnsi="Times New Roman"/>
        </w:rPr>
        <w:t xml:space="preserve"> del programma</w:t>
      </w:r>
      <w:r w:rsidR="0095535B">
        <w:rPr>
          <w:rFonts w:ascii="Times New Roman" w:hAnsi="Times New Roman"/>
        </w:rPr>
        <w:t xml:space="preserve">. </w:t>
      </w:r>
      <w:r w:rsidRPr="00146D14">
        <w:rPr>
          <w:rFonts w:ascii="Times New Roman" w:hAnsi="Times New Roman"/>
        </w:rPr>
        <w:t xml:space="preserve">La terza parte dell’esame è costituita da un esercizio teso a verificare l’applicazione metodologica delle conoscenze acquisite e le competenze specifiche maturate dallo studente sugli aspetti operativi  del programma. </w:t>
      </w:r>
    </w:p>
    <w:p w14:paraId="333D8F09" w14:textId="77777777" w:rsidR="00731A8A" w:rsidRPr="00146D14" w:rsidRDefault="00731A8A" w:rsidP="0095535B">
      <w:pPr>
        <w:pStyle w:val="Testo2"/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Lo studente supera la prova se consegue un punteggio di almeno 18/30 in ciascuna delle tre parti dell’esame.</w:t>
      </w:r>
    </w:p>
    <w:p w14:paraId="5BA510D4" w14:textId="77777777" w:rsidR="00731A8A" w:rsidRPr="00146D14" w:rsidRDefault="00731A8A" w:rsidP="0095535B">
      <w:pPr>
        <w:pStyle w:val="Testo2"/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Gli studenti che hanno superato la prova intermedia potranno svolgere</w:t>
      </w:r>
      <w:r w:rsidR="00964AA6" w:rsidRPr="00146D14">
        <w:rPr>
          <w:rFonts w:ascii="Times New Roman" w:hAnsi="Times New Roman"/>
        </w:rPr>
        <w:t>, nell’appello della prima sessione d’esame immediatamente successiva,</w:t>
      </w:r>
      <w:r w:rsidRPr="00146D14">
        <w:rPr>
          <w:rFonts w:ascii="Times New Roman" w:hAnsi="Times New Roman"/>
        </w:rPr>
        <w:t xml:space="preserve"> solo la seconda e la terza parte previste dalla prova integrale.</w:t>
      </w:r>
    </w:p>
    <w:p w14:paraId="66837692" w14:textId="77777777" w:rsidR="00731A8A" w:rsidRPr="00146D14" w:rsidRDefault="00731A8A" w:rsidP="0095535B">
      <w:pPr>
        <w:pStyle w:val="Testo2"/>
        <w:ind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La prova orale può essere: a) richiesta dallo studente che ha superato la prova scritta finale, nel caso in cui ritenga che la propria preparazione non sia riflessa dall’esito della prova; b) richiesta dai docenti.</w:t>
      </w:r>
    </w:p>
    <w:p w14:paraId="5C68ABE9" w14:textId="77777777" w:rsidR="00731A8A" w:rsidRDefault="00731A8A" w:rsidP="00731A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97E090" w14:textId="77777777" w:rsidR="00964AA6" w:rsidRPr="00146D14" w:rsidRDefault="00964AA6" w:rsidP="0095535B">
      <w:pPr>
        <w:tabs>
          <w:tab w:val="clear" w:pos="284"/>
        </w:tabs>
        <w:rPr>
          <w:sz w:val="18"/>
        </w:rPr>
      </w:pPr>
      <w:r w:rsidRPr="00146D14">
        <w:rPr>
          <w:sz w:val="18"/>
        </w:rPr>
        <w:t>Lo studente dovrebbe aver maturato conoscenze adeguate in merito a:</w:t>
      </w:r>
    </w:p>
    <w:p w14:paraId="7B8EC2C2" w14:textId="77777777" w:rsidR="00964AA6" w:rsidRPr="00146D14" w:rsidRDefault="00964AA6" w:rsidP="0095535B">
      <w:pPr>
        <w:tabs>
          <w:tab w:val="clear" w:pos="284"/>
        </w:tabs>
        <w:ind w:left="284" w:hanging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principi fondamentali della gestione aziendale;</w:t>
      </w:r>
    </w:p>
    <w:p w14:paraId="2ED29380" w14:textId="77777777" w:rsidR="00964AA6" w:rsidRPr="00146D14" w:rsidRDefault="00964AA6" w:rsidP="0095535B">
      <w:pPr>
        <w:tabs>
          <w:tab w:val="clear" w:pos="284"/>
        </w:tabs>
        <w:ind w:left="284" w:hanging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caratteri essenziali delle strutture e delle logiche di funzionamento delle imprese, nei loro profili istituzionali, competitivi e organizzativi;</w:t>
      </w:r>
    </w:p>
    <w:p w14:paraId="5F715543" w14:textId="77777777" w:rsidR="00964AA6" w:rsidRPr="00146D14" w:rsidRDefault="00964AA6" w:rsidP="0095535B">
      <w:pPr>
        <w:tabs>
          <w:tab w:val="clear" w:pos="284"/>
        </w:tabs>
        <w:ind w:left="284" w:hanging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il modello contabile, ossia il processo di riconoscimento dei valori nel sistema contabile (secondo il metodo della partita doppia) e nelle sintesi di fine esercizio.</w:t>
      </w:r>
    </w:p>
    <w:p w14:paraId="19E0DB49" w14:textId="77777777" w:rsidR="0095535B" w:rsidRDefault="00964AA6" w:rsidP="0095535B">
      <w:pPr>
        <w:pStyle w:val="Testo2"/>
        <w:ind w:firstLine="0"/>
      </w:pPr>
      <w:r w:rsidRPr="00146D1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7948D2" w:rsidRPr="00146D14">
        <w:t xml:space="preserve"> In tale circostanza, le modalità di svolgimento dell’esame potrebbero </w:t>
      </w:r>
      <w:r w:rsidR="00CD0C0A" w:rsidRPr="00146D14">
        <w:t xml:space="preserve">essere aggiornate per il loro adeguato e corretto </w:t>
      </w:r>
      <w:r w:rsidR="00CD0C0A" w:rsidRPr="0095535B">
        <w:rPr>
          <w:rFonts w:ascii="Times New Roman" w:hAnsi="Times New Roman"/>
        </w:rPr>
        <w:t>svolgimento</w:t>
      </w:r>
      <w:r w:rsidR="00CD0C0A" w:rsidRPr="00146D14">
        <w:t xml:space="preserve"> a distanza.</w:t>
      </w:r>
    </w:p>
    <w:p w14:paraId="6249413B" w14:textId="77777777" w:rsidR="00146D14" w:rsidRPr="0095535B" w:rsidRDefault="0095535B" w:rsidP="0095535B">
      <w:pPr>
        <w:spacing w:before="240" w:after="120"/>
        <w:rPr>
          <w:b/>
          <w:bCs/>
          <w:color w:val="000000"/>
          <w:sz w:val="18"/>
          <w:szCs w:val="18"/>
        </w:rPr>
      </w:pPr>
      <w:r w:rsidRPr="0095535B">
        <w:rPr>
          <w:b/>
          <w:i/>
          <w:sz w:val="18"/>
        </w:rPr>
        <w:t>ORARIO</w:t>
      </w:r>
      <w:r w:rsidRPr="0095535B">
        <w:rPr>
          <w:b/>
          <w:bCs/>
          <w:i/>
          <w:iCs/>
          <w:color w:val="000000"/>
          <w:sz w:val="18"/>
          <w:szCs w:val="18"/>
        </w:rPr>
        <w:t xml:space="preserve"> E LUOGO DI RICEVIMENTO DEGLI STUDENTI</w:t>
      </w:r>
    </w:p>
    <w:p w14:paraId="2F5859BD" w14:textId="77777777" w:rsidR="00731A8A" w:rsidRPr="00F963BD" w:rsidRDefault="00731A8A" w:rsidP="0095535B">
      <w:pPr>
        <w:pStyle w:val="Testo2"/>
        <w:tabs>
          <w:tab w:val="clear" w:pos="284"/>
          <w:tab w:val="left" w:pos="0"/>
        </w:tabs>
        <w:ind w:firstLine="0"/>
      </w:pPr>
      <w:r w:rsidRPr="00F963BD">
        <w:t>Orari e luogo di ricevimento sono comunicati nella pagina web dei docenti.</w:t>
      </w:r>
    </w:p>
    <w:sectPr w:rsidR="00731A8A" w:rsidRPr="00F963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FC49" w14:textId="77777777" w:rsidR="00F10C6D" w:rsidRDefault="00F10C6D" w:rsidP="00F10C6D">
      <w:pPr>
        <w:spacing w:line="240" w:lineRule="auto"/>
      </w:pPr>
      <w:r>
        <w:separator/>
      </w:r>
    </w:p>
  </w:endnote>
  <w:endnote w:type="continuationSeparator" w:id="0">
    <w:p w14:paraId="34BA8296" w14:textId="77777777" w:rsidR="00F10C6D" w:rsidRDefault="00F10C6D" w:rsidP="00F1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2549" w14:textId="77777777" w:rsidR="00F10C6D" w:rsidRDefault="00F10C6D" w:rsidP="00F10C6D">
      <w:pPr>
        <w:spacing w:line="240" w:lineRule="auto"/>
      </w:pPr>
      <w:r>
        <w:separator/>
      </w:r>
    </w:p>
  </w:footnote>
  <w:footnote w:type="continuationSeparator" w:id="0">
    <w:p w14:paraId="2AFD2BBD" w14:textId="77777777" w:rsidR="00F10C6D" w:rsidRDefault="00F10C6D" w:rsidP="00F10C6D">
      <w:pPr>
        <w:spacing w:line="240" w:lineRule="auto"/>
      </w:pPr>
      <w:r>
        <w:continuationSeparator/>
      </w:r>
    </w:p>
  </w:footnote>
  <w:footnote w:id="1">
    <w:p w14:paraId="59B033DE" w14:textId="71DDE735" w:rsidR="00F10C6D" w:rsidRDefault="00F10C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4C2"/>
    <w:multiLevelType w:val="hybridMultilevel"/>
    <w:tmpl w:val="8A123868"/>
    <w:lvl w:ilvl="0" w:tplc="62140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61272">
    <w:abstractNumId w:val="0"/>
  </w:num>
  <w:num w:numId="2" w16cid:durableId="49815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E3"/>
    <w:rsid w:val="000E741F"/>
    <w:rsid w:val="001120F1"/>
    <w:rsid w:val="00146D14"/>
    <w:rsid w:val="00161CC9"/>
    <w:rsid w:val="00187B99"/>
    <w:rsid w:val="001B24F6"/>
    <w:rsid w:val="002014DD"/>
    <w:rsid w:val="002D5E17"/>
    <w:rsid w:val="002E655A"/>
    <w:rsid w:val="00350B78"/>
    <w:rsid w:val="00395547"/>
    <w:rsid w:val="004154A6"/>
    <w:rsid w:val="004349E6"/>
    <w:rsid w:val="004D0F1B"/>
    <w:rsid w:val="004D1217"/>
    <w:rsid w:val="004D16EB"/>
    <w:rsid w:val="004D6008"/>
    <w:rsid w:val="005A4BCD"/>
    <w:rsid w:val="00640794"/>
    <w:rsid w:val="006F1772"/>
    <w:rsid w:val="00731A8A"/>
    <w:rsid w:val="00782024"/>
    <w:rsid w:val="007948D2"/>
    <w:rsid w:val="008942E7"/>
    <w:rsid w:val="008A1204"/>
    <w:rsid w:val="00900CCA"/>
    <w:rsid w:val="00924B77"/>
    <w:rsid w:val="00940DA2"/>
    <w:rsid w:val="0095535B"/>
    <w:rsid w:val="00964AA6"/>
    <w:rsid w:val="009A1C3A"/>
    <w:rsid w:val="009E055C"/>
    <w:rsid w:val="00A74F6F"/>
    <w:rsid w:val="00A84689"/>
    <w:rsid w:val="00AA602E"/>
    <w:rsid w:val="00AD3CE3"/>
    <w:rsid w:val="00AD7557"/>
    <w:rsid w:val="00B50C5D"/>
    <w:rsid w:val="00B51253"/>
    <w:rsid w:val="00B525CC"/>
    <w:rsid w:val="00CD0C0A"/>
    <w:rsid w:val="00D404F2"/>
    <w:rsid w:val="00DC4FBD"/>
    <w:rsid w:val="00DE5ECA"/>
    <w:rsid w:val="00E41191"/>
    <w:rsid w:val="00E607E6"/>
    <w:rsid w:val="00F10C6D"/>
    <w:rsid w:val="00F877C0"/>
    <w:rsid w:val="00F963BD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2F91B"/>
  <w15:docId w15:val="{6A7B6CBF-E3C7-4093-B586-C49300F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1A8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A8A"/>
    <w:pPr>
      <w:ind w:left="720"/>
      <w:contextualSpacing/>
    </w:pPr>
  </w:style>
  <w:style w:type="character" w:styleId="Rimandocommento">
    <w:name w:val="annotation reference"/>
    <w:basedOn w:val="Carpredefinitoparagrafo"/>
    <w:rsid w:val="00964AA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4AA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4AA6"/>
  </w:style>
  <w:style w:type="paragraph" w:styleId="Soggettocommento">
    <w:name w:val="annotation subject"/>
    <w:basedOn w:val="Testocommento"/>
    <w:next w:val="Testocommento"/>
    <w:link w:val="SoggettocommentoCarattere"/>
    <w:rsid w:val="00964A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4AA6"/>
    <w:rPr>
      <w:b/>
      <w:bCs/>
    </w:rPr>
  </w:style>
  <w:style w:type="paragraph" w:styleId="Testofumetto">
    <w:name w:val="Balloon Text"/>
    <w:basedOn w:val="Normale"/>
    <w:link w:val="TestofumettoCarattere"/>
    <w:rsid w:val="00964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4AA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0C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0C6D"/>
  </w:style>
  <w:style w:type="character" w:styleId="Rimandonotaapidipagina">
    <w:name w:val="footnote reference"/>
    <w:basedOn w:val="Carpredefinitoparagrafo"/>
    <w:semiHidden/>
    <w:unhideWhenUsed/>
    <w:rsid w:val="00F10C6D"/>
    <w:rPr>
      <w:vertAlign w:val="superscript"/>
    </w:rPr>
  </w:style>
  <w:style w:type="character" w:styleId="Collegamentoipertestuale">
    <w:name w:val="Hyperlink"/>
    <w:basedOn w:val="Carpredefinitoparagrafo"/>
    <w:unhideWhenUsed/>
    <w:rsid w:val="00F10C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bilancio-desercizio-9788828842354-7121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ccardo-stacchezzini-cristina-florio/bilancio-dimpresa-esercizi-9788875341787-5512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3B1E-ECEB-4A7F-A984-7F199293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994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2023-05-25T13:51:00Z</dcterms:created>
  <dcterms:modified xsi:type="dcterms:W3CDTF">2023-06-23T11:46:00Z</dcterms:modified>
</cp:coreProperties>
</file>