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5C34" w14:textId="77777777" w:rsidR="00672BA9" w:rsidRPr="00223A52" w:rsidRDefault="00672BA9" w:rsidP="00672BA9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223A52">
        <w:rPr>
          <w:rFonts w:ascii="Times" w:hAnsi="Times"/>
          <w:b/>
          <w:noProof/>
          <w:szCs w:val="20"/>
        </w:rPr>
        <w:t>Mercati e prodotti assicurativi</w:t>
      </w:r>
    </w:p>
    <w:p w14:paraId="71EE0B55" w14:textId="413F7ED4" w:rsidR="00672BA9" w:rsidRPr="00223A52" w:rsidRDefault="00672BA9" w:rsidP="00672BA9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223A52">
        <w:rPr>
          <w:rFonts w:ascii="Times" w:hAnsi="Times"/>
          <w:smallCaps/>
          <w:noProof/>
          <w:sz w:val="18"/>
          <w:szCs w:val="20"/>
        </w:rPr>
        <w:t>Prof. Lodovico Marazzi</w:t>
      </w:r>
    </w:p>
    <w:p w14:paraId="5435B0EA" w14:textId="77777777" w:rsidR="002D5E17" w:rsidRDefault="00672BA9" w:rsidP="00672B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D0F6B9" w14:textId="3C1746AB" w:rsidR="00672BA9" w:rsidRPr="00223A52" w:rsidRDefault="00672BA9" w:rsidP="00672BA9">
      <w:r w:rsidRPr="00223A52">
        <w:t xml:space="preserve">Il corso </w:t>
      </w:r>
      <w:r w:rsidR="003468FE">
        <w:t>introduce</w:t>
      </w:r>
      <w:r w:rsidRPr="00223A52">
        <w:t xml:space="preserve"> lo studente alle caratteristiche proprie dei mercati assicurativi, alle diverse tipologie di prodotti assicurativi, </w:t>
      </w:r>
      <w:r w:rsidR="008276E3">
        <w:t xml:space="preserve">alle norme generali della distribuzione assicurativa ed </w:t>
      </w:r>
      <w:r w:rsidRPr="00223A52">
        <w:t xml:space="preserve">ai programmi assicurativi di </w:t>
      </w:r>
      <w:r w:rsidR="009A0DB8">
        <w:t>specifiche</w:t>
      </w:r>
      <w:r w:rsidRPr="00223A52">
        <w:t xml:space="preserve"> tipologie di aziende. </w:t>
      </w:r>
    </w:p>
    <w:p w14:paraId="2D95D865" w14:textId="00541D0F" w:rsidR="00672BA9" w:rsidRDefault="00672BA9" w:rsidP="00672BA9">
      <w:r w:rsidRPr="00223A52">
        <w:t>Il corso propone occasioni di approfondimento teorico e pratico per la redazione di un programma assicurativo di una media azienda italiana (business game).</w:t>
      </w:r>
    </w:p>
    <w:p w14:paraId="3A122BB0" w14:textId="5092D0BD" w:rsidR="003468FE" w:rsidRPr="003468FE" w:rsidRDefault="003468FE" w:rsidP="003468FE">
      <w:r w:rsidRPr="003468FE">
        <w:t>Al termine della trattazione dell</w:t>
      </w:r>
      <w:r>
        <w:t>e diverse aree tematiche</w:t>
      </w:r>
      <w:r w:rsidRPr="003468FE">
        <w:t xml:space="preserve"> il candidato sarà in grado di: </w:t>
      </w:r>
    </w:p>
    <w:p w14:paraId="1846B96F" w14:textId="4DA9FE22" w:rsidR="003468FE" w:rsidRPr="00BE0E90" w:rsidRDefault="003C45E8" w:rsidP="00CF62C8">
      <w:pPr>
        <w:pStyle w:val="Paragrafoelenco"/>
        <w:numPr>
          <w:ilvl w:val="0"/>
          <w:numId w:val="2"/>
        </w:numPr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 xml:space="preserve">conoscere </w:t>
      </w:r>
      <w:r w:rsidR="003468FE" w:rsidRPr="00BE0E90">
        <w:rPr>
          <w:rFonts w:eastAsia="MS Mincho"/>
          <w:szCs w:val="20"/>
        </w:rPr>
        <w:t>logiche di funzionamento, dimensioni</w:t>
      </w:r>
      <w:r w:rsidR="008276E3" w:rsidRPr="00BE0E90">
        <w:rPr>
          <w:rFonts w:eastAsia="MS Mincho"/>
          <w:szCs w:val="20"/>
        </w:rPr>
        <w:t xml:space="preserve">, </w:t>
      </w:r>
      <w:r w:rsidR="003468FE" w:rsidRPr="00BE0E90">
        <w:rPr>
          <w:rFonts w:eastAsia="MS Mincho"/>
          <w:szCs w:val="20"/>
        </w:rPr>
        <w:t xml:space="preserve">principali attori </w:t>
      </w:r>
      <w:r w:rsidR="008276E3" w:rsidRPr="00BE0E90">
        <w:rPr>
          <w:rFonts w:eastAsia="MS Mincho"/>
          <w:szCs w:val="20"/>
        </w:rPr>
        <w:t xml:space="preserve">e prospettive evolutive </w:t>
      </w:r>
      <w:r w:rsidR="003468FE" w:rsidRPr="00BE0E90">
        <w:rPr>
          <w:rFonts w:eastAsia="MS Mincho"/>
          <w:szCs w:val="20"/>
        </w:rPr>
        <w:t>dei mercati assicurativi;</w:t>
      </w:r>
    </w:p>
    <w:p w14:paraId="4ED37E69" w14:textId="4440E19B" w:rsidR="003468FE" w:rsidRPr="00BE0E90" w:rsidRDefault="003C45E8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 xml:space="preserve">conoscere </w:t>
      </w:r>
      <w:r w:rsidR="00961075" w:rsidRPr="00BE0E90">
        <w:rPr>
          <w:rFonts w:eastAsia="MS Mincho"/>
          <w:szCs w:val="20"/>
        </w:rPr>
        <w:t xml:space="preserve">le </w:t>
      </w:r>
      <w:r w:rsidR="003468FE" w:rsidRPr="00BE0E90">
        <w:rPr>
          <w:rFonts w:eastAsia="MS Mincho"/>
          <w:szCs w:val="20"/>
        </w:rPr>
        <w:t>caratteristiche di domanda e offerta dei principali prodotti del ramo danni utilizzate dalle aziende, nonch</w:t>
      </w:r>
      <w:r w:rsidR="00275032" w:rsidRPr="00BE0E90">
        <w:rPr>
          <w:rFonts w:eastAsia="MS Mincho"/>
          <w:szCs w:val="20"/>
        </w:rPr>
        <w:t xml:space="preserve">é </w:t>
      </w:r>
      <w:r w:rsidR="003468FE" w:rsidRPr="00BE0E90">
        <w:rPr>
          <w:rFonts w:eastAsia="MS Mincho"/>
          <w:szCs w:val="20"/>
        </w:rPr>
        <w:t>le caratteristiche tecniche principali di detti prodotti;</w:t>
      </w:r>
    </w:p>
    <w:p w14:paraId="449E198D" w14:textId="23FB5AD6" w:rsidR="003468FE" w:rsidRPr="00BE0E90" w:rsidRDefault="00961075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 xml:space="preserve">conoscere le </w:t>
      </w:r>
      <w:r w:rsidR="003468FE" w:rsidRPr="00BE0E90">
        <w:rPr>
          <w:rFonts w:eastAsia="MS Mincho"/>
          <w:szCs w:val="20"/>
        </w:rPr>
        <w:t xml:space="preserve">caratteristiche </w:t>
      </w:r>
      <w:r w:rsidR="008276E3" w:rsidRPr="00BE0E90">
        <w:rPr>
          <w:rFonts w:eastAsia="MS Mincho"/>
          <w:szCs w:val="20"/>
        </w:rPr>
        <w:t>generali</w:t>
      </w:r>
      <w:r w:rsidR="003468FE" w:rsidRPr="00BE0E90">
        <w:rPr>
          <w:rFonts w:eastAsia="MS Mincho"/>
          <w:szCs w:val="20"/>
        </w:rPr>
        <w:t xml:space="preserve"> dei prodotti assicurativi vita</w:t>
      </w:r>
      <w:r w:rsidR="008276E3" w:rsidRPr="00BE0E90">
        <w:rPr>
          <w:rFonts w:eastAsia="MS Mincho"/>
          <w:szCs w:val="20"/>
        </w:rPr>
        <w:t>;</w:t>
      </w:r>
    </w:p>
    <w:p w14:paraId="09F225B5" w14:textId="4FCCCFBB" w:rsidR="008276E3" w:rsidRPr="00BE0E90" w:rsidRDefault="00961075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 xml:space="preserve">conoscere i </w:t>
      </w:r>
      <w:r w:rsidR="008276E3" w:rsidRPr="00BE0E90">
        <w:rPr>
          <w:rFonts w:eastAsia="MS Mincho"/>
          <w:szCs w:val="20"/>
        </w:rPr>
        <w:t>riferimenti normativi ed operativi della distribuzione assicurativa;</w:t>
      </w:r>
    </w:p>
    <w:p w14:paraId="02F0D959" w14:textId="42AEA79D" w:rsidR="003468FE" w:rsidRPr="00BE0E90" w:rsidRDefault="003C45E8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 xml:space="preserve">comprendere le </w:t>
      </w:r>
      <w:r w:rsidR="003468FE" w:rsidRPr="00BE0E90">
        <w:rPr>
          <w:rFonts w:eastAsia="MS Mincho"/>
          <w:szCs w:val="20"/>
        </w:rPr>
        <w:t>specifiche esigenze di gestione dei rischi di particolari tipologie di aziende ed il complesso di prodotti assicurativi (programmi) utilizzati</w:t>
      </w:r>
      <w:r w:rsidR="00961075" w:rsidRPr="00BE0E90">
        <w:rPr>
          <w:rFonts w:eastAsia="MS Mincho"/>
          <w:szCs w:val="20"/>
        </w:rPr>
        <w:t>;</w:t>
      </w:r>
      <w:r w:rsidR="003468FE" w:rsidRPr="00BE0E90">
        <w:rPr>
          <w:rFonts w:eastAsia="MS Mincho"/>
          <w:szCs w:val="20"/>
        </w:rPr>
        <w:t xml:space="preserve"> </w:t>
      </w:r>
    </w:p>
    <w:p w14:paraId="2CA3E274" w14:textId="416107C1" w:rsidR="00961075" w:rsidRPr="00BE0E90" w:rsidRDefault="00961075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>comunicare l’efficacia dell’utilizzo dei prodotti assicurativi nell’ambito della gestione aziendale.</w:t>
      </w:r>
    </w:p>
    <w:p w14:paraId="2EFA9545" w14:textId="77777777" w:rsidR="00672BA9" w:rsidRDefault="00672BA9" w:rsidP="00672B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E3D3E1F" w14:textId="77777777" w:rsidR="00672BA9" w:rsidRPr="00672BA9" w:rsidRDefault="00672BA9" w:rsidP="00672BA9">
      <w:pPr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1.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I mercati assicurativi e riassicurativi</w:t>
      </w:r>
    </w:p>
    <w:p w14:paraId="6E852518" w14:textId="35EB72C9" w:rsidR="00672BA9" w:rsidRPr="00672BA9" w:rsidRDefault="00672BA9" w:rsidP="008276E3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 xml:space="preserve">Mercato internazionale. Mercato Europeo. Mercato Italiano. </w:t>
      </w:r>
      <w:r w:rsidR="008276E3">
        <w:rPr>
          <w:rFonts w:eastAsia="MS Mincho"/>
          <w:szCs w:val="20"/>
        </w:rPr>
        <w:t xml:space="preserve">Mercati Asia-Pacifico. </w:t>
      </w:r>
      <w:r w:rsidR="003E0117" w:rsidRPr="00BE0E90">
        <w:rPr>
          <w:rFonts w:eastAsia="MS Mincho"/>
          <w:szCs w:val="20"/>
        </w:rPr>
        <w:t xml:space="preserve">Mercato </w:t>
      </w:r>
      <w:proofErr w:type="spellStart"/>
      <w:r w:rsidR="003E0117" w:rsidRPr="00BE0E90">
        <w:rPr>
          <w:rFonts w:eastAsia="MS Mincho"/>
          <w:szCs w:val="20"/>
        </w:rPr>
        <w:t>Insurtech</w:t>
      </w:r>
      <w:proofErr w:type="spellEnd"/>
      <w:r w:rsidR="003E0117" w:rsidRPr="00BE0E90">
        <w:rPr>
          <w:rFonts w:eastAsia="MS Mincho"/>
          <w:szCs w:val="20"/>
        </w:rPr>
        <w:t>. P</w:t>
      </w:r>
      <w:r w:rsidR="008276E3" w:rsidRPr="00BE0E90">
        <w:rPr>
          <w:rFonts w:eastAsia="MS Mincho"/>
          <w:szCs w:val="20"/>
        </w:rPr>
        <w:t>rospettive di sviluppo dei mercat</w:t>
      </w:r>
      <w:r w:rsidR="000F2383" w:rsidRPr="00BE0E90">
        <w:rPr>
          <w:rFonts w:eastAsia="MS Mincho"/>
          <w:szCs w:val="20"/>
        </w:rPr>
        <w:t>i</w:t>
      </w:r>
      <w:r w:rsidR="008276E3" w:rsidRPr="00BE0E90">
        <w:rPr>
          <w:rFonts w:eastAsia="MS Mincho"/>
          <w:szCs w:val="20"/>
        </w:rPr>
        <w:t xml:space="preserve"> assicurativi</w:t>
      </w:r>
      <w:r w:rsidR="008276E3">
        <w:rPr>
          <w:rFonts w:eastAsia="MS Mincho"/>
          <w:szCs w:val="20"/>
        </w:rPr>
        <w:t>.</w:t>
      </w:r>
    </w:p>
    <w:p w14:paraId="04ECF0E6" w14:textId="77777777" w:rsidR="00672BA9" w:rsidRPr="00672BA9" w:rsidRDefault="00672BA9" w:rsidP="00672BA9">
      <w:pPr>
        <w:spacing w:before="120"/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2.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I prodotti assicurativi dei rami danni</w:t>
      </w:r>
    </w:p>
    <w:p w14:paraId="10E25FAE" w14:textId="6D23126C" w:rsidR="00672BA9" w:rsidRDefault="00672BA9" w:rsidP="00672BA9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Infortuni e Malattia. Incendio danni diretti e danni indiretti. Altri danni ai beni. Corpi veicoli terrestri, aerei, marittimi. Merci trasportate. Responsabilità Civile Generale</w:t>
      </w:r>
      <w:r w:rsidR="00804AFA">
        <w:rPr>
          <w:rFonts w:eastAsia="MS Mincho"/>
          <w:szCs w:val="20"/>
        </w:rPr>
        <w:t xml:space="preserve">, Prodotti e Professionale. </w:t>
      </w:r>
      <w:r w:rsidRPr="00672BA9">
        <w:rPr>
          <w:rFonts w:eastAsia="MS Mincho"/>
          <w:szCs w:val="20"/>
        </w:rPr>
        <w:t xml:space="preserve">Responsabilità Civile Auto. Rischi Tecnologici e Cyber Risks, Credito e Cauzioni. Tutela Legale. Assistenza. </w:t>
      </w:r>
    </w:p>
    <w:p w14:paraId="3870643C" w14:textId="7A352E3A" w:rsidR="008276E3" w:rsidRPr="00672BA9" w:rsidRDefault="008276E3" w:rsidP="008276E3">
      <w:pPr>
        <w:tabs>
          <w:tab w:val="clear" w:pos="284"/>
        </w:tabs>
        <w:spacing w:before="120"/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3</w:t>
      </w:r>
      <w:r w:rsidRPr="00672BA9">
        <w:rPr>
          <w:rFonts w:eastAsia="MS Mincho"/>
          <w:szCs w:val="20"/>
        </w:rPr>
        <w:t>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 xml:space="preserve">I prodotti assicurativi dei rami vita </w:t>
      </w:r>
    </w:p>
    <w:p w14:paraId="4AC2342D" w14:textId="69527372" w:rsidR="008276E3" w:rsidRPr="00672BA9" w:rsidRDefault="008276E3" w:rsidP="008276E3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I</w:t>
      </w:r>
      <w:r>
        <w:rPr>
          <w:rFonts w:eastAsia="MS Mincho"/>
          <w:szCs w:val="20"/>
        </w:rPr>
        <w:t xml:space="preserve"> prodotti assicurativi d’investimento (rivalutabili e </w:t>
      </w:r>
      <w:proofErr w:type="spellStart"/>
      <w:r>
        <w:rPr>
          <w:rFonts w:eastAsia="MS Mincho"/>
          <w:szCs w:val="20"/>
        </w:rPr>
        <w:t>unit-linked</w:t>
      </w:r>
      <w:proofErr w:type="spellEnd"/>
      <w:r>
        <w:rPr>
          <w:rFonts w:eastAsia="MS Mincho"/>
          <w:szCs w:val="20"/>
        </w:rPr>
        <w:t>)</w:t>
      </w:r>
      <w:r w:rsidRPr="00672BA9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 xml:space="preserve">e </w:t>
      </w:r>
      <w:r w:rsidRPr="00672BA9">
        <w:rPr>
          <w:rFonts w:eastAsia="MS Mincho"/>
          <w:szCs w:val="20"/>
        </w:rPr>
        <w:t>previdenziali (fondi pensioni aperti, piani individuali previdenziali</w:t>
      </w:r>
      <w:r>
        <w:rPr>
          <w:rFonts w:eastAsia="MS Mincho"/>
          <w:szCs w:val="20"/>
        </w:rPr>
        <w:t>). I prodotti di protezione (temporane</w:t>
      </w:r>
      <w:r w:rsidR="000F2383">
        <w:rPr>
          <w:rFonts w:eastAsia="MS Mincho"/>
          <w:szCs w:val="20"/>
        </w:rPr>
        <w:t>a</w:t>
      </w:r>
      <w:r>
        <w:rPr>
          <w:rFonts w:eastAsia="MS Mincho"/>
          <w:szCs w:val="20"/>
        </w:rPr>
        <w:t xml:space="preserve"> caso morte e long </w:t>
      </w:r>
      <w:proofErr w:type="spellStart"/>
      <w:r>
        <w:rPr>
          <w:rFonts w:eastAsia="MS Mincho"/>
          <w:szCs w:val="20"/>
        </w:rPr>
        <w:t>term</w:t>
      </w:r>
      <w:proofErr w:type="spellEnd"/>
      <w:r>
        <w:rPr>
          <w:rFonts w:eastAsia="MS Mincho"/>
          <w:szCs w:val="20"/>
        </w:rPr>
        <w:t xml:space="preserve"> care)</w:t>
      </w:r>
      <w:r w:rsidRPr="00672BA9">
        <w:rPr>
          <w:rFonts w:eastAsia="MS Mincho"/>
          <w:szCs w:val="20"/>
        </w:rPr>
        <w:t>.</w:t>
      </w:r>
    </w:p>
    <w:p w14:paraId="6E4FE3DD" w14:textId="268B5D54" w:rsidR="008276E3" w:rsidRPr="00672BA9" w:rsidRDefault="008276E3" w:rsidP="008276E3">
      <w:pPr>
        <w:spacing w:before="120"/>
        <w:rPr>
          <w:rFonts w:eastAsia="MS Mincho"/>
          <w:i/>
          <w:szCs w:val="20"/>
        </w:rPr>
      </w:pPr>
      <w:r>
        <w:rPr>
          <w:rFonts w:eastAsia="MS Mincho"/>
          <w:szCs w:val="20"/>
        </w:rPr>
        <w:lastRenderedPageBreak/>
        <w:t>4</w:t>
      </w:r>
      <w:r w:rsidRPr="00672BA9">
        <w:rPr>
          <w:rFonts w:eastAsia="MS Mincho"/>
          <w:szCs w:val="20"/>
        </w:rPr>
        <w:t>.</w:t>
      </w:r>
      <w:r w:rsidRPr="00672BA9">
        <w:rPr>
          <w:rFonts w:eastAsia="MS Mincho"/>
          <w:szCs w:val="20"/>
        </w:rPr>
        <w:tab/>
      </w:r>
      <w:r w:rsidR="00275032">
        <w:rPr>
          <w:rFonts w:eastAsia="MS Mincho"/>
          <w:i/>
          <w:szCs w:val="20"/>
        </w:rPr>
        <w:t>Norme ed elementi di</w:t>
      </w:r>
      <w:r>
        <w:rPr>
          <w:rFonts w:eastAsia="MS Mincho"/>
          <w:i/>
          <w:szCs w:val="20"/>
        </w:rPr>
        <w:t xml:space="preserve"> distribuzione assicurativa</w:t>
      </w:r>
    </w:p>
    <w:p w14:paraId="09E59916" w14:textId="095C77AE" w:rsidR="008276E3" w:rsidRPr="00672BA9" w:rsidRDefault="00275032" w:rsidP="008276E3">
      <w:pPr>
        <w:tabs>
          <w:tab w:val="clear" w:pos="284"/>
        </w:tabs>
        <w:rPr>
          <w:rFonts w:eastAsia="MS Mincho"/>
          <w:szCs w:val="20"/>
        </w:rPr>
      </w:pPr>
      <w:r>
        <w:rPr>
          <w:rFonts w:eastAsia="MS Mincho"/>
          <w:szCs w:val="20"/>
        </w:rPr>
        <w:t>Fonti del Diritto delle Assicurazioni. Codice delle Assicurazioni Private. Direttiva EU 2016//97 e conseguenti Regolamenti IVASS</w:t>
      </w:r>
      <w:r w:rsidR="008276E3" w:rsidRPr="00672BA9">
        <w:rPr>
          <w:rFonts w:eastAsia="MS Mincho"/>
          <w:szCs w:val="20"/>
        </w:rPr>
        <w:t xml:space="preserve">. </w:t>
      </w:r>
    </w:p>
    <w:p w14:paraId="577D4B8F" w14:textId="50E49403" w:rsidR="00672BA9" w:rsidRPr="00672BA9" w:rsidRDefault="008276E3" w:rsidP="00672BA9">
      <w:pPr>
        <w:spacing w:before="120"/>
        <w:rPr>
          <w:rFonts w:eastAsia="MS Mincho"/>
          <w:i/>
          <w:szCs w:val="20"/>
        </w:rPr>
      </w:pPr>
      <w:r>
        <w:rPr>
          <w:rFonts w:eastAsia="MS Mincho"/>
          <w:szCs w:val="20"/>
        </w:rPr>
        <w:t>5</w:t>
      </w:r>
      <w:r w:rsidR="00672BA9" w:rsidRPr="00672BA9">
        <w:rPr>
          <w:rFonts w:eastAsia="MS Mincho"/>
          <w:szCs w:val="20"/>
        </w:rPr>
        <w:t>.</w:t>
      </w:r>
      <w:r w:rsidR="00672BA9" w:rsidRPr="00672BA9">
        <w:rPr>
          <w:rFonts w:eastAsia="MS Mincho"/>
          <w:szCs w:val="20"/>
        </w:rPr>
        <w:tab/>
      </w:r>
      <w:r w:rsidR="00672BA9" w:rsidRPr="00672BA9">
        <w:rPr>
          <w:rFonts w:eastAsia="MS Mincho"/>
          <w:i/>
          <w:szCs w:val="20"/>
        </w:rPr>
        <w:t>Programmi Assicurativi Aziendali</w:t>
      </w:r>
    </w:p>
    <w:p w14:paraId="7CC8935F" w14:textId="77777777" w:rsidR="00672BA9" w:rsidRPr="00672BA9" w:rsidRDefault="00672BA9" w:rsidP="00672BA9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Aziende Bancarie e Finanziarie. Enti ed Aziende Pubbliche. Aziende Sanitarie.</w:t>
      </w:r>
      <w:r>
        <w:rPr>
          <w:rFonts w:eastAsia="MS Mincho"/>
          <w:szCs w:val="20"/>
        </w:rPr>
        <w:t xml:space="preserve"> Aer</w:t>
      </w:r>
      <w:r w:rsidRPr="00672BA9">
        <w:rPr>
          <w:rFonts w:eastAsia="MS Mincho"/>
          <w:szCs w:val="20"/>
        </w:rPr>
        <w:t xml:space="preserve">oporti. Programmi internazionali e Aziende Multinazionali. </w:t>
      </w:r>
    </w:p>
    <w:p w14:paraId="6D7B4FFD" w14:textId="2599548D" w:rsidR="00672BA9" w:rsidRPr="00B57233" w:rsidRDefault="00672BA9" w:rsidP="00B5723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61FE1">
        <w:rPr>
          <w:rStyle w:val="Rimandonotaapidipagina"/>
          <w:b/>
          <w:i/>
          <w:sz w:val="18"/>
        </w:rPr>
        <w:footnoteReference w:id="1"/>
      </w:r>
    </w:p>
    <w:p w14:paraId="2EB87B9F" w14:textId="77777777" w:rsidR="00672BA9" w:rsidRPr="00BE0E90" w:rsidRDefault="00672BA9" w:rsidP="00BE0E90">
      <w:pPr>
        <w:pStyle w:val="Testo1"/>
        <w:spacing w:before="0"/>
      </w:pPr>
      <w:r w:rsidRPr="00BE0E90">
        <w:t>L. Marazzi (a cura di), Introduzione ai Mercati e ai prodotti assicurativi danni, EDUCatt, 2017.</w:t>
      </w:r>
    </w:p>
    <w:p w14:paraId="5E9164C5" w14:textId="7EB2E240" w:rsidR="00187934" w:rsidRPr="00BE0E90" w:rsidRDefault="00187934" w:rsidP="00BE0E90">
      <w:pPr>
        <w:pStyle w:val="Testo1"/>
        <w:spacing w:before="0"/>
      </w:pPr>
      <w:r w:rsidRPr="00BE0E90">
        <w:t>L. Marazzi , Mercati assicurativi durante la pandemia Covid-19, EDUCatt, 2021.</w:t>
      </w:r>
    </w:p>
    <w:p w14:paraId="766B4D03" w14:textId="2DB25CC9" w:rsidR="00672BA9" w:rsidRPr="00BE0E90" w:rsidRDefault="00672BA9" w:rsidP="00BE0E90">
      <w:pPr>
        <w:pStyle w:val="Testo1"/>
        <w:spacing w:before="0"/>
      </w:pPr>
      <w:r w:rsidRPr="00BE0E90">
        <w:t>Materiale didattico indicato o messo a disposizione durante lo svolgimento del corso.</w:t>
      </w:r>
    </w:p>
    <w:p w14:paraId="0D766C85" w14:textId="77777777" w:rsidR="00672BA9" w:rsidRDefault="00672BA9" w:rsidP="00672B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2DEAAF" w14:textId="5C7F07E9" w:rsidR="00672BA9" w:rsidRPr="00BE0E90" w:rsidRDefault="00672BA9" w:rsidP="00672BA9">
      <w:pPr>
        <w:pStyle w:val="Testo2"/>
      </w:pPr>
      <w:r w:rsidRPr="00223A52">
        <w:t>Il corso prevede lezioni frontali. Sono previste alcune testimonianze di professinisti del settore.</w:t>
      </w:r>
      <w:r>
        <w:t xml:space="preserve"> Durante il corso è inoltre previsto un business game facoltativo </w:t>
      </w:r>
      <w:r w:rsidR="00EB2F31">
        <w:t>n</w:t>
      </w:r>
      <w:r>
        <w:t xml:space="preserve">el quale ciascun gruppo, con il supporto di un consulente assicurativo, deve redigere un programma </w:t>
      </w:r>
      <w:r w:rsidRPr="00BE0E90">
        <w:t>assicurativo per un’azienda</w:t>
      </w:r>
      <w:r w:rsidR="003E0117" w:rsidRPr="00BE0E90">
        <w:t xml:space="preserve"> (business game)</w:t>
      </w:r>
      <w:r w:rsidRPr="00BE0E90">
        <w:t>.</w:t>
      </w:r>
    </w:p>
    <w:p w14:paraId="6390F02C" w14:textId="77777777" w:rsidR="00672BA9" w:rsidRPr="00BE0E90" w:rsidRDefault="00672BA9" w:rsidP="00672BA9">
      <w:pPr>
        <w:spacing w:before="240" w:after="120" w:line="220" w:lineRule="exact"/>
        <w:rPr>
          <w:b/>
          <w:i/>
          <w:sz w:val="18"/>
        </w:rPr>
      </w:pPr>
      <w:r w:rsidRPr="00BE0E90">
        <w:rPr>
          <w:b/>
          <w:i/>
          <w:sz w:val="18"/>
        </w:rPr>
        <w:t>METODO E CRITERI DI VALUTAZIONE</w:t>
      </w:r>
    </w:p>
    <w:p w14:paraId="4A5AB574" w14:textId="665A7600" w:rsidR="00672BA9" w:rsidRPr="00BE0E90" w:rsidRDefault="00672BA9" w:rsidP="00672BA9">
      <w:pPr>
        <w:pStyle w:val="Testo2"/>
      </w:pPr>
      <w:r w:rsidRPr="00BE0E90">
        <w:t>Prova scritta (compito con domande aperte). Eventuale orale integrativo</w:t>
      </w:r>
      <w:r w:rsidR="00832948" w:rsidRPr="00BE0E90">
        <w:t xml:space="preserve"> su richiesta o in caso di punteggio </w:t>
      </w:r>
      <w:r w:rsidRPr="00BE0E90">
        <w:t>. Può essere prevista un prova scritta finale per gli studenti frequentanti.</w:t>
      </w:r>
      <w:r w:rsidRPr="00BE0E90">
        <w:rPr>
          <w:rFonts w:ascii="Segoe UI" w:hAnsi="Segoe UI" w:cs="Segoe UI"/>
          <w:sz w:val="23"/>
          <w:szCs w:val="23"/>
        </w:rPr>
        <w:t xml:space="preserve"> </w:t>
      </w:r>
      <w:r w:rsidRPr="00BE0E90">
        <w:t>Alla valutazione finale concorrono anche gli esiti del business game (punteggio addizionale) svolto durante il corso.</w:t>
      </w:r>
    </w:p>
    <w:p w14:paraId="30CC999E" w14:textId="069D70A8" w:rsidR="00832948" w:rsidRPr="00BE0E90" w:rsidRDefault="00AA740F" w:rsidP="00672BA9">
      <w:pPr>
        <w:pStyle w:val="Testo2"/>
      </w:pPr>
      <w:r w:rsidRPr="00BE0E90">
        <w:t xml:space="preserve">Nella prova scritta le studentesse e gli studenti dovranno dimostrare di conoscere </w:t>
      </w:r>
      <w:r w:rsidR="00971CDE" w:rsidRPr="00BE0E90">
        <w:t>nozioni</w:t>
      </w:r>
      <w:r w:rsidRPr="00BE0E90">
        <w:t xml:space="preserve"> e concetti chiave dei temi illustrati nel materiale bibliografico indicato o messo a disposizione; </w:t>
      </w:r>
      <w:r w:rsidR="00971CDE" w:rsidRPr="00BE0E90">
        <w:t>durante</w:t>
      </w:r>
      <w:r w:rsidRPr="00BE0E90">
        <w:t xml:space="preserve"> il colloquio orale dovranno dimostrare di sapersi orientare </w:t>
      </w:r>
      <w:r w:rsidR="00832948" w:rsidRPr="00BE0E90">
        <w:t xml:space="preserve">anche </w:t>
      </w:r>
      <w:r w:rsidRPr="00BE0E90">
        <w:t xml:space="preserve">tra i temi e le </w:t>
      </w:r>
      <w:r w:rsidR="00971CDE" w:rsidRPr="00BE0E90">
        <w:t>problematiche</w:t>
      </w:r>
      <w:r w:rsidRPr="00BE0E90">
        <w:t xml:space="preserve"> </w:t>
      </w:r>
      <w:r w:rsidR="00971CDE" w:rsidRPr="00BE0E90">
        <w:t>generali utili a far emergere il valore e le peculiarità dei mercati e dei prootti assicurativi</w:t>
      </w:r>
      <w:r w:rsidRPr="00BE0E90">
        <w:t>.</w:t>
      </w:r>
      <w:r w:rsidR="00971CDE" w:rsidRPr="00BE0E90">
        <w:t xml:space="preserve"> </w:t>
      </w:r>
      <w:r w:rsidR="00832948" w:rsidRPr="00BE0E90">
        <w:t>Le domande aperte della prova scritta saranno di uguale peso, valutate con un punteggio da 0 a 3 punti.</w:t>
      </w:r>
    </w:p>
    <w:p w14:paraId="14F00B72" w14:textId="77777777" w:rsidR="00672BA9" w:rsidRDefault="00672BA9" w:rsidP="00672BA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D6251D9" w14:textId="582752C6" w:rsidR="00175674" w:rsidRDefault="00672BA9" w:rsidP="00175674">
      <w:pPr>
        <w:pStyle w:val="Testo2"/>
        <w:rPr>
          <w:rFonts w:eastAsia="MS Mincho"/>
        </w:rPr>
      </w:pPr>
      <w:r>
        <w:rPr>
          <w:rFonts w:eastAsia="MS Mincho"/>
        </w:rPr>
        <w:t xml:space="preserve">Viene richiesta la </w:t>
      </w:r>
      <w:r w:rsidRPr="00223A52">
        <w:rPr>
          <w:rFonts w:eastAsia="MS Mincho"/>
        </w:rPr>
        <w:t xml:space="preserve">conoscenza dei principi fondamentali dell’economia delle imprese </w:t>
      </w:r>
      <w:r w:rsidR="009A0DB8">
        <w:rPr>
          <w:rFonts w:eastAsia="MS Mincho"/>
        </w:rPr>
        <w:t>di assicurazione</w:t>
      </w:r>
      <w:r w:rsidRPr="00223A52">
        <w:rPr>
          <w:rFonts w:eastAsia="MS Mincho"/>
        </w:rPr>
        <w:t>.</w:t>
      </w:r>
    </w:p>
    <w:p w14:paraId="71DA8AA4" w14:textId="77777777" w:rsidR="00672BA9" w:rsidRPr="00B57233" w:rsidRDefault="00672BA9" w:rsidP="00B57233">
      <w:pPr>
        <w:pStyle w:val="Testo2"/>
        <w:spacing w:before="120"/>
        <w:rPr>
          <w:i/>
        </w:rPr>
      </w:pPr>
      <w:r w:rsidRPr="00B57233">
        <w:rPr>
          <w:i/>
        </w:rPr>
        <w:t>Orario e luogo di ricevimento</w:t>
      </w:r>
    </w:p>
    <w:p w14:paraId="6805A106" w14:textId="0C33FBDE" w:rsidR="00672BA9" w:rsidRDefault="00672BA9" w:rsidP="00672BA9">
      <w:pPr>
        <w:pStyle w:val="Testo2"/>
      </w:pPr>
      <w:r w:rsidRPr="00223A52">
        <w:t>Il Prof. Lodovico Marazzi riceve gli studenti: a) periodo svolgimento del corso, al termine delle lezioni, nell’aula dedicata, b) negli altri periodi, previo appuntamento richiesto via e-</w:t>
      </w:r>
      <w:r w:rsidRPr="00223A52">
        <w:lastRenderedPageBreak/>
        <w:t xml:space="preserve">mail, presso il Dipartimento di Scienze dell’economia e della gestione aziendale (via Necchi, 5). </w:t>
      </w:r>
    </w:p>
    <w:p w14:paraId="3AFF4F4D" w14:textId="15FD7A70" w:rsidR="004012F0" w:rsidRDefault="004012F0" w:rsidP="00285F11">
      <w:pPr>
        <w:pStyle w:val="Testo2"/>
      </w:pPr>
      <w:r>
        <w:t xml:space="preserve">In caso di impossibilità a svolgere il ricevimento in presenza esso sarà effettuato tramite appuntamenti </w:t>
      </w:r>
      <w:r w:rsidR="00EB2F31">
        <w:t>Teams</w:t>
      </w:r>
      <w:r>
        <w:t xml:space="preserve"> da richiedere via mail al docente. Consultare la pagina personale de</w:t>
      </w:r>
      <w:r w:rsidR="00992591">
        <w:t>i</w:t>
      </w:r>
      <w:r>
        <w:t xml:space="preserve"> docent</w:t>
      </w:r>
      <w:r w:rsidR="00992591">
        <w:t>i</w:t>
      </w:r>
      <w:r>
        <w:t xml:space="preserve"> per eventuali variazioni.</w:t>
      </w:r>
    </w:p>
    <w:sectPr w:rsidR="004012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60B6" w14:textId="77777777" w:rsidR="00661FE1" w:rsidRDefault="00661FE1" w:rsidP="00661FE1">
      <w:pPr>
        <w:spacing w:line="240" w:lineRule="auto"/>
      </w:pPr>
      <w:r>
        <w:separator/>
      </w:r>
    </w:p>
  </w:endnote>
  <w:endnote w:type="continuationSeparator" w:id="0">
    <w:p w14:paraId="4EC37A0A" w14:textId="77777777" w:rsidR="00661FE1" w:rsidRDefault="00661FE1" w:rsidP="00661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B443" w14:textId="77777777" w:rsidR="00661FE1" w:rsidRDefault="00661FE1" w:rsidP="00661FE1">
      <w:pPr>
        <w:spacing w:line="240" w:lineRule="auto"/>
      </w:pPr>
      <w:r>
        <w:separator/>
      </w:r>
    </w:p>
  </w:footnote>
  <w:footnote w:type="continuationSeparator" w:id="0">
    <w:p w14:paraId="0D85C917" w14:textId="77777777" w:rsidR="00661FE1" w:rsidRDefault="00661FE1" w:rsidP="00661FE1">
      <w:pPr>
        <w:spacing w:line="240" w:lineRule="auto"/>
      </w:pPr>
      <w:r>
        <w:continuationSeparator/>
      </w:r>
    </w:p>
  </w:footnote>
  <w:footnote w:id="1">
    <w:p w14:paraId="064D6F08" w14:textId="03D42896" w:rsidR="00661FE1" w:rsidRDefault="00661F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5E6A"/>
    <w:multiLevelType w:val="hybridMultilevel"/>
    <w:tmpl w:val="96166ECE"/>
    <w:lvl w:ilvl="0" w:tplc="4D8A25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7B219F"/>
    <w:multiLevelType w:val="hybridMultilevel"/>
    <w:tmpl w:val="070CA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89575637">
    <w:abstractNumId w:val="1"/>
  </w:num>
  <w:num w:numId="2" w16cid:durableId="125608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96"/>
    <w:rsid w:val="000F2383"/>
    <w:rsid w:val="00175674"/>
    <w:rsid w:val="00180667"/>
    <w:rsid w:val="00187934"/>
    <w:rsid w:val="00187B99"/>
    <w:rsid w:val="001D78B4"/>
    <w:rsid w:val="002014DD"/>
    <w:rsid w:val="00275032"/>
    <w:rsid w:val="00285F11"/>
    <w:rsid w:val="002D5E17"/>
    <w:rsid w:val="003468FE"/>
    <w:rsid w:val="003C45E8"/>
    <w:rsid w:val="003E0117"/>
    <w:rsid w:val="003F012B"/>
    <w:rsid w:val="004012F0"/>
    <w:rsid w:val="004D1217"/>
    <w:rsid w:val="004D6008"/>
    <w:rsid w:val="00640794"/>
    <w:rsid w:val="00661FE1"/>
    <w:rsid w:val="00672BA9"/>
    <w:rsid w:val="0068381B"/>
    <w:rsid w:val="006F1772"/>
    <w:rsid w:val="00700011"/>
    <w:rsid w:val="00804AFA"/>
    <w:rsid w:val="00820D54"/>
    <w:rsid w:val="008276E3"/>
    <w:rsid w:val="00832948"/>
    <w:rsid w:val="008942E7"/>
    <w:rsid w:val="008A1204"/>
    <w:rsid w:val="00900CCA"/>
    <w:rsid w:val="00924B77"/>
    <w:rsid w:val="00935296"/>
    <w:rsid w:val="00940DA2"/>
    <w:rsid w:val="00961075"/>
    <w:rsid w:val="00971CDE"/>
    <w:rsid w:val="00992591"/>
    <w:rsid w:val="009A0DB8"/>
    <w:rsid w:val="009E055C"/>
    <w:rsid w:val="00A309DE"/>
    <w:rsid w:val="00A668A1"/>
    <w:rsid w:val="00A74F6F"/>
    <w:rsid w:val="00AA740F"/>
    <w:rsid w:val="00AD1354"/>
    <w:rsid w:val="00AD7557"/>
    <w:rsid w:val="00B41A3B"/>
    <w:rsid w:val="00B50C5D"/>
    <w:rsid w:val="00B51253"/>
    <w:rsid w:val="00B525CC"/>
    <w:rsid w:val="00B57233"/>
    <w:rsid w:val="00BE0E90"/>
    <w:rsid w:val="00C04BCD"/>
    <w:rsid w:val="00CE72DB"/>
    <w:rsid w:val="00CF62C8"/>
    <w:rsid w:val="00D404F2"/>
    <w:rsid w:val="00E607E6"/>
    <w:rsid w:val="00EA3162"/>
    <w:rsid w:val="00EB2F31"/>
    <w:rsid w:val="00EE2ED7"/>
    <w:rsid w:val="00F0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4BC46"/>
  <w15:chartTrackingRefBased/>
  <w15:docId w15:val="{1874107A-7B68-4183-8A98-64847921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72BA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4012F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468F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61FE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1FE1"/>
  </w:style>
  <w:style w:type="character" w:styleId="Rimandonotaapidipagina">
    <w:name w:val="footnote reference"/>
    <w:basedOn w:val="Carpredefinitoparagrafo"/>
    <w:rsid w:val="00661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6A5E-B450-4474-9552-B080E986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130</TotalTime>
  <Pages>3</Pages>
  <Words>626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2003-03-27T10:42:00Z</cp:lastPrinted>
  <dcterms:created xsi:type="dcterms:W3CDTF">2022-05-18T07:28:00Z</dcterms:created>
  <dcterms:modified xsi:type="dcterms:W3CDTF">2023-06-23T12:17:00Z</dcterms:modified>
</cp:coreProperties>
</file>