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13BD" w14:textId="77777777" w:rsidR="00AD0ED4" w:rsidRPr="00677825" w:rsidRDefault="00AD0ED4" w:rsidP="00AD0ED4">
      <w:pPr>
        <w:pStyle w:val="Titolo1"/>
        <w:rPr>
          <w:rFonts w:ascii="Times New Roman" w:hAnsi="Times New Roman"/>
        </w:rPr>
      </w:pPr>
      <w:r w:rsidRPr="00677825">
        <w:rPr>
          <w:rFonts w:ascii="Times New Roman" w:hAnsi="Times New Roman"/>
        </w:rPr>
        <w:t>Ec</w:t>
      </w:r>
      <w:r w:rsidR="00F8437F" w:rsidRPr="00677825">
        <w:rPr>
          <w:rFonts w:ascii="Times New Roman" w:hAnsi="Times New Roman"/>
        </w:rPr>
        <w:t>onomia delle aziende di credito</w:t>
      </w:r>
    </w:p>
    <w:p w14:paraId="33C814A0" w14:textId="77777777" w:rsidR="00AD0ED4" w:rsidRPr="00677825" w:rsidRDefault="00AD0ED4" w:rsidP="00AD0ED4">
      <w:pPr>
        <w:pStyle w:val="Titolo2"/>
        <w:rPr>
          <w:rFonts w:ascii="Times New Roman" w:hAnsi="Times New Roman"/>
          <w:szCs w:val="18"/>
        </w:rPr>
      </w:pPr>
      <w:r w:rsidRPr="00677825">
        <w:rPr>
          <w:rFonts w:ascii="Times New Roman" w:hAnsi="Times New Roman"/>
          <w:szCs w:val="18"/>
        </w:rPr>
        <w:t>Prof. Alberto Banfi</w:t>
      </w:r>
    </w:p>
    <w:p w14:paraId="1DCC053C" w14:textId="77777777" w:rsidR="002D5E17" w:rsidRPr="00677825" w:rsidRDefault="00AD0ED4" w:rsidP="00AD0ED4">
      <w:pPr>
        <w:spacing w:before="240" w:after="120" w:line="240" w:lineRule="exact"/>
        <w:rPr>
          <w:b/>
          <w:sz w:val="18"/>
          <w:szCs w:val="18"/>
        </w:rPr>
      </w:pPr>
      <w:r w:rsidRPr="00677825">
        <w:rPr>
          <w:b/>
          <w:i/>
          <w:sz w:val="18"/>
          <w:szCs w:val="18"/>
        </w:rPr>
        <w:t>OBIETTIVO DEL CORSO E RISULTATI DI APPRENDIMENTO ATTESI</w:t>
      </w:r>
    </w:p>
    <w:p w14:paraId="36F190BC" w14:textId="77777777" w:rsidR="00AD0ED4" w:rsidRPr="00677825" w:rsidRDefault="00AD0ED4" w:rsidP="00AD0ED4">
      <w:pPr>
        <w:tabs>
          <w:tab w:val="clear" w:pos="284"/>
        </w:tabs>
        <w:rPr>
          <w:szCs w:val="20"/>
        </w:rPr>
      </w:pPr>
      <w:r w:rsidRPr="00677825">
        <w:rPr>
          <w:szCs w:val="20"/>
        </w:rPr>
        <w:t>Il corso intende presentare allo studente i principali aspetti della gestione delle aziende di credito attraverso l’analisi del quadro regolamentare di riferimento e dei vari ambiti operativi delle banche nel contesto italiano e con riferimenti anche al mercato internazionale. Al termine del corso lo studente sarà in grado di comprendere come viene svolta l’attività di raccolta e di impiego delle risorse da parte delle banche nonché l’ampia gamma di servizi offerti, di conoscere il ruolo delle autorità di vigilanza e l’impatto delle disposizioni di vigilanza sull’attività della banca, di interpretare l’operatività della banca attraverso l’analisi delle principali poste del suo bilancio, nonché di cogliere le principali tendenze in atto nell’industria bancaria nazionale e internazionale.</w:t>
      </w:r>
    </w:p>
    <w:p w14:paraId="6C4A5024" w14:textId="77777777" w:rsidR="00AD0ED4" w:rsidRPr="00677825" w:rsidRDefault="00AD0ED4" w:rsidP="00F8437F">
      <w:pPr>
        <w:tabs>
          <w:tab w:val="clear" w:pos="284"/>
        </w:tabs>
        <w:spacing w:before="120"/>
        <w:outlineLvl w:val="1"/>
        <w:rPr>
          <w:smallCaps/>
          <w:noProof/>
          <w:szCs w:val="20"/>
        </w:rPr>
      </w:pPr>
      <w:r w:rsidRPr="00677825">
        <w:rPr>
          <w:smallCaps/>
          <w:noProof/>
          <w:szCs w:val="20"/>
        </w:rPr>
        <w:t xml:space="preserve">Obiettivi formativi che lo studente dovrebbe acquisire nel corso </w:t>
      </w:r>
    </w:p>
    <w:p w14:paraId="79F158BB" w14:textId="77777777" w:rsidR="00AD0ED4" w:rsidRPr="00677825" w:rsidRDefault="00AD0ED4" w:rsidP="00AD0ED4">
      <w:pPr>
        <w:rPr>
          <w:szCs w:val="20"/>
        </w:rPr>
      </w:pPr>
      <w:r w:rsidRPr="00677825">
        <w:rPr>
          <w:szCs w:val="20"/>
        </w:rPr>
        <w:t>Lo studente dovrebbe</w:t>
      </w:r>
    </w:p>
    <w:p w14:paraId="3AE5EE40" w14:textId="77777777" w:rsidR="00AD0ED4" w:rsidRPr="00677825" w:rsidRDefault="00AD0ED4" w:rsidP="00AD0ED4">
      <w:pPr>
        <w:ind w:left="284" w:hanging="284"/>
        <w:rPr>
          <w:szCs w:val="20"/>
        </w:rPr>
      </w:pPr>
      <w:r w:rsidRPr="00677825">
        <w:rPr>
          <w:szCs w:val="20"/>
        </w:rPr>
        <w:t>–</w:t>
      </w:r>
      <w:r w:rsidRPr="00677825">
        <w:rPr>
          <w:szCs w:val="20"/>
        </w:rPr>
        <w:tab/>
        <w:t>acquisire la conoscenza dei principali fondamenti della gestione bancaria, con particolare attenzione al ruolo specifico della banca quale intermediario finanziario;</w:t>
      </w:r>
    </w:p>
    <w:p w14:paraId="21F1F1E1" w14:textId="77777777" w:rsidR="00AD0ED4" w:rsidRPr="00677825" w:rsidRDefault="00AD0ED4" w:rsidP="00AD0ED4">
      <w:pPr>
        <w:ind w:left="284" w:hanging="284"/>
        <w:rPr>
          <w:szCs w:val="20"/>
        </w:rPr>
      </w:pPr>
      <w:r w:rsidRPr="00677825">
        <w:rPr>
          <w:szCs w:val="20"/>
        </w:rPr>
        <w:t>–</w:t>
      </w:r>
      <w:r w:rsidRPr="00677825">
        <w:rPr>
          <w:szCs w:val="20"/>
        </w:rPr>
        <w:tab/>
        <w:t>comprendere il ruolo delle autorità di vigilanza e l’importanza dei controlli nell’attività bancaria;</w:t>
      </w:r>
    </w:p>
    <w:p w14:paraId="59D91C67" w14:textId="77777777" w:rsidR="00AD0ED4" w:rsidRPr="00677825" w:rsidRDefault="00AD0ED4" w:rsidP="00AD0ED4">
      <w:pPr>
        <w:ind w:left="284" w:hanging="284"/>
        <w:rPr>
          <w:szCs w:val="20"/>
        </w:rPr>
      </w:pPr>
      <w:r w:rsidRPr="00677825">
        <w:rPr>
          <w:szCs w:val="20"/>
        </w:rPr>
        <w:t>–</w:t>
      </w:r>
      <w:r w:rsidRPr="00677825">
        <w:rPr>
          <w:szCs w:val="20"/>
        </w:rPr>
        <w:tab/>
        <w:t xml:space="preserve">riconoscere l’importanza del patrimonio di vigilanza della banca e comprendere le modalità di calcolo dei principali requisiti minimi obbligatori; </w:t>
      </w:r>
    </w:p>
    <w:p w14:paraId="7923892F" w14:textId="77777777" w:rsidR="00AD0ED4" w:rsidRPr="00677825" w:rsidRDefault="00AD0ED4" w:rsidP="00AD0ED4">
      <w:pPr>
        <w:ind w:left="284" w:hanging="284"/>
        <w:rPr>
          <w:szCs w:val="20"/>
        </w:rPr>
      </w:pPr>
      <w:r w:rsidRPr="00677825">
        <w:rPr>
          <w:szCs w:val="20"/>
        </w:rPr>
        <w:t>–</w:t>
      </w:r>
      <w:r w:rsidRPr="00677825">
        <w:rPr>
          <w:szCs w:val="20"/>
        </w:rPr>
        <w:tab/>
        <w:t>acquisire la conoscenza delle principali tecniche per la gestione della tesoreria e della liquidità, nonché comprendere le scelte in ordine alle politiche più appropriate di raccolta;</w:t>
      </w:r>
    </w:p>
    <w:p w14:paraId="6352D43F" w14:textId="77777777" w:rsidR="00AD0ED4" w:rsidRPr="00677825" w:rsidRDefault="00AD0ED4" w:rsidP="00AD0ED4">
      <w:pPr>
        <w:ind w:left="284" w:hanging="284"/>
        <w:rPr>
          <w:szCs w:val="20"/>
        </w:rPr>
      </w:pPr>
      <w:r w:rsidRPr="00677825">
        <w:rPr>
          <w:szCs w:val="20"/>
        </w:rPr>
        <w:t>–</w:t>
      </w:r>
      <w:r w:rsidRPr="00677825">
        <w:rPr>
          <w:szCs w:val="20"/>
        </w:rPr>
        <w:tab/>
        <w:t>acquisire la conoscenza delle modalità di concessione e di gestione dei prestiti alla luce delle recenti innovazioni regolamentari;</w:t>
      </w:r>
    </w:p>
    <w:p w14:paraId="7BA55E9B" w14:textId="77777777" w:rsidR="00AD0ED4" w:rsidRPr="00677825" w:rsidRDefault="00AD0ED4" w:rsidP="00AD0ED4">
      <w:pPr>
        <w:ind w:left="284" w:hanging="284"/>
        <w:rPr>
          <w:szCs w:val="20"/>
        </w:rPr>
      </w:pPr>
      <w:r w:rsidRPr="00677825">
        <w:rPr>
          <w:szCs w:val="20"/>
        </w:rPr>
        <w:t>–</w:t>
      </w:r>
      <w:r w:rsidRPr="00677825">
        <w:rPr>
          <w:szCs w:val="20"/>
        </w:rPr>
        <w:tab/>
        <w:t>riconoscere nel bilancio bancario le aree di attività e il loro contributo al risultato di gestione;</w:t>
      </w:r>
    </w:p>
    <w:p w14:paraId="122B6BD4" w14:textId="77777777" w:rsidR="00AD0ED4" w:rsidRPr="00677825" w:rsidRDefault="00AD0ED4" w:rsidP="00AD0ED4">
      <w:pPr>
        <w:ind w:left="284" w:hanging="284"/>
        <w:rPr>
          <w:szCs w:val="20"/>
        </w:rPr>
      </w:pPr>
      <w:r w:rsidRPr="00677825">
        <w:rPr>
          <w:szCs w:val="20"/>
        </w:rPr>
        <w:t>–</w:t>
      </w:r>
      <w:r w:rsidRPr="00677825">
        <w:rPr>
          <w:szCs w:val="20"/>
        </w:rPr>
        <w:tab/>
        <w:t>comprendere la recente evoluzione del mercato bancario in Italia e l’attuale struttura del sistema bancario nazionale e internazionale;</w:t>
      </w:r>
    </w:p>
    <w:p w14:paraId="26D45FE3" w14:textId="77777777" w:rsidR="00AD0ED4" w:rsidRPr="00677825" w:rsidRDefault="00AD0ED4" w:rsidP="00AD0ED4">
      <w:pPr>
        <w:ind w:left="284" w:hanging="284"/>
        <w:rPr>
          <w:szCs w:val="20"/>
          <w:u w:val="single"/>
        </w:rPr>
      </w:pPr>
      <w:r w:rsidRPr="00677825">
        <w:rPr>
          <w:szCs w:val="20"/>
        </w:rPr>
        <w:t>–</w:t>
      </w:r>
      <w:r w:rsidRPr="00677825">
        <w:rPr>
          <w:szCs w:val="20"/>
        </w:rPr>
        <w:tab/>
        <w:t>saper leggere e interpretare le principali statistiche aventi per oggetto le banche e gli intermediari finanziari operanti nel nostro paese;</w:t>
      </w:r>
    </w:p>
    <w:p w14:paraId="3C6F3FF6" w14:textId="77777777" w:rsidR="00AD0ED4" w:rsidRPr="00677825" w:rsidRDefault="00AD0ED4" w:rsidP="00AD0ED4">
      <w:pPr>
        <w:ind w:left="284" w:hanging="284"/>
        <w:rPr>
          <w:szCs w:val="20"/>
        </w:rPr>
      </w:pPr>
      <w:r w:rsidRPr="00677825">
        <w:rPr>
          <w:szCs w:val="20"/>
        </w:rPr>
        <w:t>–</w:t>
      </w:r>
      <w:r w:rsidRPr="00677825">
        <w:rPr>
          <w:szCs w:val="20"/>
        </w:rPr>
        <w:tab/>
        <w:t>comprendere le linee di tendenza evolutive dell’attività creditizia in Italia e nell’Unione Europea.</w:t>
      </w:r>
    </w:p>
    <w:p w14:paraId="12F59890" w14:textId="77777777" w:rsidR="00AD0ED4" w:rsidRPr="00677825" w:rsidRDefault="00AD0ED4" w:rsidP="00AD0ED4">
      <w:pPr>
        <w:spacing w:before="240" w:after="120" w:line="240" w:lineRule="exact"/>
        <w:rPr>
          <w:b/>
          <w:sz w:val="18"/>
          <w:szCs w:val="18"/>
        </w:rPr>
      </w:pPr>
      <w:r w:rsidRPr="00677825">
        <w:rPr>
          <w:b/>
          <w:i/>
          <w:sz w:val="18"/>
          <w:szCs w:val="18"/>
        </w:rPr>
        <w:t>PROGRAMMA DEL CORSO</w:t>
      </w:r>
    </w:p>
    <w:p w14:paraId="72EA77C5" w14:textId="77777777" w:rsidR="00AD0ED4" w:rsidRPr="00677825" w:rsidRDefault="00AD0ED4" w:rsidP="00AD0ED4">
      <w:pPr>
        <w:pStyle w:val="Paragrafoelenco"/>
        <w:numPr>
          <w:ilvl w:val="0"/>
          <w:numId w:val="1"/>
        </w:numPr>
        <w:tabs>
          <w:tab w:val="left" w:pos="284"/>
        </w:tabs>
        <w:ind w:left="284" w:hanging="284"/>
        <w:jc w:val="both"/>
        <w:rPr>
          <w:i/>
        </w:rPr>
      </w:pPr>
      <w:r w:rsidRPr="00677825">
        <w:rPr>
          <w:i/>
        </w:rPr>
        <w:t>I fondamenti economici della gestione bancaria e il quadro normativo</w:t>
      </w:r>
    </w:p>
    <w:p w14:paraId="2801A7E5" w14:textId="77777777" w:rsidR="00AD0ED4" w:rsidRPr="00677825" w:rsidRDefault="00AD0ED4" w:rsidP="00AD0ED4">
      <w:pPr>
        <w:rPr>
          <w:szCs w:val="20"/>
        </w:rPr>
      </w:pPr>
      <w:r w:rsidRPr="00677825">
        <w:rPr>
          <w:szCs w:val="20"/>
        </w:rPr>
        <w:lastRenderedPageBreak/>
        <w:t xml:space="preserve">L'intermediazione finanziaria e la specificità della banca: i fondamenti teorici. Le banche e l’intermediazione creditizia. La funzione monetaria e la funzione creditizia. Il quadro normativo e regolamentare: l’attività di vigilanza e la sua recente evoluzione. La Banca Centrale Europea e l’Unione bancaria Europea. </w:t>
      </w:r>
    </w:p>
    <w:p w14:paraId="6292C23F" w14:textId="77777777" w:rsidR="00AD0ED4" w:rsidRPr="00677825" w:rsidRDefault="00AD0ED4" w:rsidP="00AD0ED4">
      <w:pPr>
        <w:pStyle w:val="Paragrafoelenco"/>
        <w:numPr>
          <w:ilvl w:val="0"/>
          <w:numId w:val="1"/>
        </w:numPr>
        <w:tabs>
          <w:tab w:val="left" w:pos="284"/>
        </w:tabs>
        <w:spacing w:before="120"/>
        <w:ind w:left="284" w:hanging="284"/>
        <w:jc w:val="both"/>
        <w:rPr>
          <w:i/>
        </w:rPr>
      </w:pPr>
      <w:r w:rsidRPr="00677825">
        <w:rPr>
          <w:i/>
        </w:rPr>
        <w:t>La gestione della liquidità e della raccolta bancaria</w:t>
      </w:r>
    </w:p>
    <w:p w14:paraId="3332E4B9" w14:textId="77777777" w:rsidR="00AD0ED4" w:rsidRPr="00677825" w:rsidRDefault="00AD0ED4" w:rsidP="00AD0ED4">
      <w:pPr>
        <w:rPr>
          <w:iCs/>
          <w:szCs w:val="20"/>
        </w:rPr>
      </w:pPr>
      <w:r w:rsidRPr="00677825">
        <w:rPr>
          <w:iCs/>
          <w:szCs w:val="20"/>
        </w:rPr>
        <w:t xml:space="preserve">Il sistema dei pagamenti e le scelte di tesoreria. I principali strumenti di gestione della liquidità. </w:t>
      </w:r>
      <w:r w:rsidRPr="00677825">
        <w:rPr>
          <w:szCs w:val="20"/>
        </w:rPr>
        <w:t>La politica di raccolta e i suoi obbiettivi: raccolta all’ingrosso e raccolta retail.</w:t>
      </w:r>
    </w:p>
    <w:p w14:paraId="427D4E05" w14:textId="77777777" w:rsidR="00AD0ED4" w:rsidRPr="00677825" w:rsidRDefault="00AD0ED4" w:rsidP="00AD0ED4">
      <w:pPr>
        <w:pStyle w:val="Paragrafoelenco"/>
        <w:numPr>
          <w:ilvl w:val="0"/>
          <w:numId w:val="1"/>
        </w:numPr>
        <w:tabs>
          <w:tab w:val="left" w:pos="284"/>
        </w:tabs>
        <w:spacing w:before="120"/>
        <w:ind w:left="284" w:hanging="284"/>
        <w:jc w:val="both"/>
        <w:rPr>
          <w:i/>
        </w:rPr>
      </w:pPr>
      <w:r w:rsidRPr="00677825">
        <w:rPr>
          <w:i/>
        </w:rPr>
        <w:t>La gestione dell’attivo: i prestiti e la funzione allocativa</w:t>
      </w:r>
    </w:p>
    <w:p w14:paraId="5C26F43A" w14:textId="77777777" w:rsidR="00AD0ED4" w:rsidRPr="00677825" w:rsidRDefault="00AD0ED4" w:rsidP="00AD0ED4">
      <w:pPr>
        <w:rPr>
          <w:szCs w:val="20"/>
        </w:rPr>
      </w:pPr>
      <w:r w:rsidRPr="00677825">
        <w:rPr>
          <w:szCs w:val="20"/>
        </w:rPr>
        <w:t>I prestiti nella gestione bancaria. Il merito di credito e il rapporto banca-impresa. Le principali attività della banca e i requisiti patrimoniali: gli investimenti in strumenti finanziari, in immobili e in partecipazioni; le altre voci dell’attivo e il livello di rischio associato.</w:t>
      </w:r>
    </w:p>
    <w:p w14:paraId="5D7429D0" w14:textId="77777777" w:rsidR="00AD0ED4" w:rsidRPr="00677825" w:rsidRDefault="00AD0ED4" w:rsidP="00AD0ED4">
      <w:pPr>
        <w:pStyle w:val="Paragrafoelenco"/>
        <w:numPr>
          <w:ilvl w:val="0"/>
          <w:numId w:val="1"/>
        </w:numPr>
        <w:tabs>
          <w:tab w:val="left" w:pos="284"/>
        </w:tabs>
        <w:spacing w:before="120"/>
        <w:ind w:left="284" w:hanging="284"/>
        <w:jc w:val="both"/>
        <w:rPr>
          <w:i/>
        </w:rPr>
      </w:pPr>
      <w:r w:rsidRPr="00677825">
        <w:rPr>
          <w:i/>
        </w:rPr>
        <w:t>L’attività della banca vista attraverso il bilancio</w:t>
      </w:r>
    </w:p>
    <w:p w14:paraId="4C74FB1C" w14:textId="77777777" w:rsidR="00AD0ED4" w:rsidRPr="00677825" w:rsidRDefault="00AD0ED4" w:rsidP="00AD0ED4">
      <w:pPr>
        <w:rPr>
          <w:szCs w:val="20"/>
        </w:rPr>
      </w:pPr>
      <w:r w:rsidRPr="00677825">
        <w:rPr>
          <w:szCs w:val="20"/>
        </w:rPr>
        <w:t>I principi fondamentali del bilancio bancario. La struttura del bilancio bancario e le principali voci. La redditività attraverso l’analisi delle voci di conto economico.</w:t>
      </w:r>
    </w:p>
    <w:p w14:paraId="3ED24640" w14:textId="77777777" w:rsidR="00AD0ED4" w:rsidRPr="00677825" w:rsidRDefault="00AD0ED4" w:rsidP="00AD0ED4">
      <w:pPr>
        <w:pStyle w:val="Paragrafoelenco"/>
        <w:numPr>
          <w:ilvl w:val="0"/>
          <w:numId w:val="1"/>
        </w:numPr>
        <w:tabs>
          <w:tab w:val="left" w:pos="284"/>
        </w:tabs>
        <w:spacing w:before="120"/>
        <w:ind w:left="284" w:hanging="284"/>
        <w:jc w:val="both"/>
        <w:rPr>
          <w:i/>
        </w:rPr>
      </w:pPr>
      <w:r w:rsidRPr="00677825">
        <w:rPr>
          <w:i/>
        </w:rPr>
        <w:t>L’evoluzione recente dell’industria bancaria nel contesto nazionale e internazionale</w:t>
      </w:r>
    </w:p>
    <w:p w14:paraId="23DDE05D" w14:textId="77777777" w:rsidR="00AD0ED4" w:rsidRPr="00677825" w:rsidRDefault="00AD0ED4" w:rsidP="00AD0ED4">
      <w:pPr>
        <w:rPr>
          <w:szCs w:val="20"/>
        </w:rPr>
      </w:pPr>
      <w:r w:rsidRPr="00677825">
        <w:rPr>
          <w:szCs w:val="20"/>
        </w:rPr>
        <w:t>Le principali tappe della recente evoluzione dell’attività bancaria in Italia. L’assetto organizzativo delle banche e la loro operatività. Le tendenze in atto e la performance delle banche. Le statistiche sul sistema bancario italiano e internazionale.</w:t>
      </w:r>
    </w:p>
    <w:p w14:paraId="11F524D5" w14:textId="16CBB3D0" w:rsidR="00AD0ED4" w:rsidRPr="00677825" w:rsidRDefault="00AD0ED4" w:rsidP="00F8437F">
      <w:pPr>
        <w:spacing w:before="240" w:after="120" w:line="240" w:lineRule="exact"/>
        <w:rPr>
          <w:b/>
          <w:i/>
          <w:sz w:val="18"/>
          <w:szCs w:val="18"/>
        </w:rPr>
      </w:pPr>
      <w:r w:rsidRPr="00677825">
        <w:rPr>
          <w:b/>
          <w:i/>
          <w:sz w:val="18"/>
          <w:szCs w:val="18"/>
        </w:rPr>
        <w:t>BIBLIOGRAFIA</w:t>
      </w:r>
      <w:r w:rsidR="00BA1A6D">
        <w:rPr>
          <w:rStyle w:val="Rimandonotaapidipagina"/>
          <w:b/>
          <w:i/>
          <w:sz w:val="18"/>
          <w:szCs w:val="18"/>
        </w:rPr>
        <w:footnoteReference w:id="1"/>
      </w:r>
    </w:p>
    <w:p w14:paraId="0492B914" w14:textId="77777777" w:rsidR="00AD0ED4" w:rsidRPr="00677825" w:rsidRDefault="00AD0ED4" w:rsidP="00F8437F">
      <w:pPr>
        <w:pStyle w:val="Testo2"/>
        <w:ind w:firstLine="0"/>
        <w:rPr>
          <w:rFonts w:ascii="Times New Roman" w:hAnsi="Times New Roman"/>
          <w:szCs w:val="18"/>
        </w:rPr>
      </w:pPr>
      <w:r w:rsidRPr="00677825">
        <w:rPr>
          <w:rFonts w:ascii="Times New Roman" w:hAnsi="Times New Roman"/>
          <w:szCs w:val="18"/>
        </w:rPr>
        <w:t>Testi obbligatori</w:t>
      </w:r>
    </w:p>
    <w:p w14:paraId="0BD2E280" w14:textId="25498320" w:rsidR="00AD0ED4" w:rsidRPr="00677825" w:rsidRDefault="00AD0ED4" w:rsidP="00AD0ED4">
      <w:pPr>
        <w:pStyle w:val="Testo2"/>
        <w:spacing w:line="240" w:lineRule="atLeast"/>
        <w:ind w:left="284" w:hanging="284"/>
        <w:rPr>
          <w:rFonts w:ascii="Times New Roman" w:hAnsi="Times New Roman"/>
          <w:spacing w:val="-5"/>
          <w:szCs w:val="18"/>
        </w:rPr>
      </w:pPr>
      <w:r w:rsidRPr="00677825">
        <w:rPr>
          <w:rFonts w:ascii="Times New Roman" w:hAnsi="Times New Roman"/>
          <w:smallCaps/>
          <w:spacing w:val="-5"/>
          <w:szCs w:val="18"/>
        </w:rPr>
        <w:t>A. Banfi-M. Biasin-M. Borroni-M. Oriani,</w:t>
      </w:r>
      <w:r w:rsidRPr="00677825">
        <w:rPr>
          <w:rFonts w:ascii="Times New Roman" w:hAnsi="Times New Roman"/>
          <w:i/>
          <w:spacing w:val="-5"/>
          <w:szCs w:val="18"/>
        </w:rPr>
        <w:t xml:space="preserve"> Economia degli intermediari finanziari,</w:t>
      </w:r>
      <w:r w:rsidRPr="00677825">
        <w:rPr>
          <w:rFonts w:ascii="Times New Roman" w:hAnsi="Times New Roman"/>
          <w:spacing w:val="-5"/>
          <w:szCs w:val="18"/>
        </w:rPr>
        <w:t xml:space="preserve"> Isedi, Torino, 20</w:t>
      </w:r>
      <w:r w:rsidR="00E43A86" w:rsidRPr="00677825">
        <w:rPr>
          <w:rFonts w:ascii="Times New Roman" w:hAnsi="Times New Roman"/>
          <w:spacing w:val="-5"/>
          <w:szCs w:val="18"/>
        </w:rPr>
        <w:t>22</w:t>
      </w:r>
      <w:r w:rsidRPr="00677825">
        <w:rPr>
          <w:rFonts w:ascii="Times New Roman" w:hAnsi="Times New Roman"/>
          <w:spacing w:val="-5"/>
          <w:szCs w:val="18"/>
        </w:rPr>
        <w:t xml:space="preserve"> (Capitoli da 1 a </w:t>
      </w:r>
      <w:r w:rsidR="00E43A86" w:rsidRPr="00677825">
        <w:rPr>
          <w:rFonts w:ascii="Times New Roman" w:hAnsi="Times New Roman"/>
          <w:spacing w:val="-5"/>
          <w:szCs w:val="18"/>
        </w:rPr>
        <w:t>8</w:t>
      </w:r>
      <w:r w:rsidRPr="00677825">
        <w:rPr>
          <w:rFonts w:ascii="Times New Roman" w:hAnsi="Times New Roman"/>
          <w:spacing w:val="-5"/>
          <w:szCs w:val="18"/>
        </w:rPr>
        <w:t>).</w:t>
      </w:r>
      <w:r w:rsidR="00BA1A6D">
        <w:rPr>
          <w:rFonts w:ascii="Times New Roman" w:hAnsi="Times New Roman"/>
          <w:spacing w:val="-5"/>
          <w:szCs w:val="18"/>
        </w:rPr>
        <w:t xml:space="preserve"> </w:t>
      </w:r>
      <w:hyperlink r:id="rId8" w:history="1">
        <w:r w:rsidR="00BA1A6D" w:rsidRPr="00BA1A6D">
          <w:rPr>
            <w:rStyle w:val="Collegamentoipertestuale"/>
            <w:rFonts w:ascii="Times New Roman" w:hAnsi="Times New Roman"/>
            <w:i/>
            <w:szCs w:val="18"/>
          </w:rPr>
          <w:t>Acquista da VP</w:t>
        </w:r>
      </w:hyperlink>
    </w:p>
    <w:p w14:paraId="3447FEC0" w14:textId="77777777" w:rsidR="00AD0ED4" w:rsidRPr="00677825" w:rsidRDefault="00AD0ED4" w:rsidP="00F8437F">
      <w:pPr>
        <w:pStyle w:val="Testo1"/>
        <w:rPr>
          <w:rFonts w:ascii="Times New Roman" w:hAnsi="Times New Roman"/>
          <w:szCs w:val="18"/>
        </w:rPr>
      </w:pPr>
      <w:r w:rsidRPr="00677825">
        <w:rPr>
          <w:rFonts w:ascii="Times New Roman" w:hAnsi="Times New Roman"/>
          <w:szCs w:val="18"/>
        </w:rPr>
        <w:t>La preparazione all’esame si completa con il materiale messo a disposizione degli studenti attraverso la piattaforma Blackboard (slides delle lezioni e altra documentazione).</w:t>
      </w:r>
    </w:p>
    <w:p w14:paraId="4904D2B5" w14:textId="77777777" w:rsidR="00AD0ED4" w:rsidRPr="00677825" w:rsidRDefault="00AD0ED4" w:rsidP="00F8437F">
      <w:pPr>
        <w:pStyle w:val="Testo1"/>
        <w:rPr>
          <w:rFonts w:ascii="Times New Roman" w:hAnsi="Times New Roman"/>
          <w:szCs w:val="18"/>
        </w:rPr>
      </w:pPr>
      <w:r w:rsidRPr="00677825">
        <w:rPr>
          <w:rFonts w:ascii="Times New Roman" w:hAnsi="Times New Roman"/>
          <w:szCs w:val="18"/>
        </w:rPr>
        <w:t>Testi consigliati</w:t>
      </w:r>
    </w:p>
    <w:p w14:paraId="5914441E" w14:textId="49903A3D" w:rsidR="00AD0ED4" w:rsidRPr="00677825" w:rsidRDefault="00AD0ED4" w:rsidP="00AD0ED4">
      <w:pPr>
        <w:pStyle w:val="Testo2"/>
        <w:spacing w:line="240" w:lineRule="atLeast"/>
        <w:ind w:left="284" w:hanging="284"/>
        <w:rPr>
          <w:rFonts w:ascii="Times New Roman" w:hAnsi="Times New Roman"/>
          <w:spacing w:val="-5"/>
          <w:szCs w:val="18"/>
        </w:rPr>
      </w:pPr>
      <w:r w:rsidRPr="00677825">
        <w:rPr>
          <w:rFonts w:ascii="Times New Roman" w:hAnsi="Times New Roman"/>
          <w:smallCaps/>
          <w:spacing w:val="-5"/>
          <w:szCs w:val="18"/>
        </w:rPr>
        <w:t>A. Banfi-F. Di Pasquali,</w:t>
      </w:r>
      <w:r w:rsidRPr="00677825">
        <w:rPr>
          <w:rFonts w:ascii="Times New Roman" w:hAnsi="Times New Roman"/>
          <w:i/>
          <w:spacing w:val="-5"/>
          <w:szCs w:val="18"/>
        </w:rPr>
        <w:t xml:space="preserve"> Le banche centrali negli anni della crisi,</w:t>
      </w:r>
      <w:r w:rsidRPr="00677825">
        <w:rPr>
          <w:rFonts w:ascii="Times New Roman" w:hAnsi="Times New Roman"/>
          <w:spacing w:val="-5"/>
          <w:szCs w:val="18"/>
        </w:rPr>
        <w:t xml:space="preserve"> Isedi, Torino, 2014.</w:t>
      </w:r>
      <w:r w:rsidR="00BA1A6D">
        <w:rPr>
          <w:rFonts w:ascii="Times New Roman" w:hAnsi="Times New Roman"/>
          <w:spacing w:val="-5"/>
          <w:szCs w:val="18"/>
        </w:rPr>
        <w:t xml:space="preserve"> </w:t>
      </w:r>
      <w:hyperlink r:id="rId9" w:history="1">
        <w:r w:rsidR="00BA1A6D" w:rsidRPr="00BA1A6D">
          <w:rPr>
            <w:rStyle w:val="Collegamentoipertestuale"/>
            <w:rFonts w:ascii="Times New Roman" w:hAnsi="Times New Roman"/>
            <w:i/>
            <w:szCs w:val="18"/>
          </w:rPr>
          <w:t>Acquista da VP</w:t>
        </w:r>
      </w:hyperlink>
    </w:p>
    <w:p w14:paraId="79860EFB" w14:textId="1C63FE20" w:rsidR="00AD0ED4" w:rsidRPr="00677825" w:rsidRDefault="00AD0ED4" w:rsidP="00E43A86">
      <w:pPr>
        <w:pStyle w:val="Testo2"/>
        <w:spacing w:line="240" w:lineRule="atLeast"/>
        <w:ind w:left="284" w:hanging="284"/>
        <w:rPr>
          <w:rFonts w:ascii="Times New Roman" w:hAnsi="Times New Roman"/>
          <w:spacing w:val="-5"/>
          <w:szCs w:val="18"/>
        </w:rPr>
      </w:pPr>
      <w:r w:rsidRPr="00677825">
        <w:rPr>
          <w:rFonts w:ascii="Times New Roman" w:hAnsi="Times New Roman"/>
          <w:smallCaps/>
          <w:spacing w:val="-5"/>
          <w:szCs w:val="18"/>
        </w:rPr>
        <w:t>Banca d’Italia,</w:t>
      </w:r>
      <w:r w:rsidRPr="00677825">
        <w:rPr>
          <w:rFonts w:ascii="Times New Roman" w:hAnsi="Times New Roman"/>
          <w:i/>
          <w:spacing w:val="-5"/>
          <w:szCs w:val="18"/>
        </w:rPr>
        <w:t xml:space="preserve"> Relazione per l’anno 20</w:t>
      </w:r>
      <w:r w:rsidR="00E43A86" w:rsidRPr="00677825">
        <w:rPr>
          <w:rFonts w:ascii="Times New Roman" w:hAnsi="Times New Roman"/>
          <w:i/>
          <w:spacing w:val="-5"/>
          <w:szCs w:val="18"/>
        </w:rPr>
        <w:t>2</w:t>
      </w:r>
      <w:r w:rsidR="006E1829">
        <w:rPr>
          <w:rFonts w:ascii="Times New Roman" w:hAnsi="Times New Roman"/>
          <w:i/>
          <w:spacing w:val="-5"/>
          <w:szCs w:val="18"/>
        </w:rPr>
        <w:t>2</w:t>
      </w:r>
      <w:r w:rsidRPr="00677825">
        <w:rPr>
          <w:rFonts w:ascii="Times New Roman" w:hAnsi="Times New Roman"/>
          <w:i/>
          <w:spacing w:val="-5"/>
          <w:szCs w:val="18"/>
        </w:rPr>
        <w:t>,</w:t>
      </w:r>
      <w:r w:rsidRPr="00677825">
        <w:rPr>
          <w:rFonts w:ascii="Times New Roman" w:hAnsi="Times New Roman"/>
          <w:spacing w:val="-5"/>
          <w:szCs w:val="18"/>
        </w:rPr>
        <w:t xml:space="preserve"> Roma, 20</w:t>
      </w:r>
      <w:r w:rsidR="00D0566B" w:rsidRPr="00677825">
        <w:rPr>
          <w:rFonts w:ascii="Times New Roman" w:hAnsi="Times New Roman"/>
          <w:spacing w:val="-5"/>
          <w:szCs w:val="18"/>
        </w:rPr>
        <w:t>2</w:t>
      </w:r>
      <w:r w:rsidR="006E1829">
        <w:rPr>
          <w:rFonts w:ascii="Times New Roman" w:hAnsi="Times New Roman"/>
          <w:spacing w:val="-5"/>
          <w:szCs w:val="18"/>
        </w:rPr>
        <w:t>3</w:t>
      </w:r>
      <w:r w:rsidRPr="00677825">
        <w:rPr>
          <w:rFonts w:ascii="Times New Roman" w:hAnsi="Times New Roman"/>
          <w:spacing w:val="-5"/>
          <w:szCs w:val="18"/>
        </w:rPr>
        <w:t>.</w:t>
      </w:r>
    </w:p>
    <w:p w14:paraId="4B7A0ADF" w14:textId="77777777" w:rsidR="00123BE3" w:rsidRPr="00677825" w:rsidRDefault="00123BE3" w:rsidP="00123BE3">
      <w:pPr>
        <w:pStyle w:val="Testo1"/>
        <w:rPr>
          <w:rFonts w:ascii="Times New Roman" w:hAnsi="Times New Roman"/>
          <w:szCs w:val="18"/>
        </w:rPr>
      </w:pPr>
      <w:r w:rsidRPr="00677825">
        <w:rPr>
          <w:rFonts w:ascii="Times New Roman" w:hAnsi="Times New Roman"/>
          <w:szCs w:val="18"/>
        </w:rPr>
        <w:t>Per il dettaglio della bibliografia e del materiale utile al sostenimento dell’esame si rinvia ad apposito avviso in Blackboard.</w:t>
      </w:r>
    </w:p>
    <w:p w14:paraId="26F9BC74" w14:textId="77777777" w:rsidR="00AD0ED4" w:rsidRPr="00677825" w:rsidRDefault="00AD0ED4" w:rsidP="00AD0ED4">
      <w:pPr>
        <w:spacing w:before="240" w:after="120"/>
        <w:rPr>
          <w:b/>
          <w:i/>
          <w:sz w:val="18"/>
          <w:szCs w:val="18"/>
        </w:rPr>
      </w:pPr>
      <w:r w:rsidRPr="00677825">
        <w:rPr>
          <w:b/>
          <w:i/>
          <w:sz w:val="18"/>
          <w:szCs w:val="18"/>
        </w:rPr>
        <w:lastRenderedPageBreak/>
        <w:t>DIDATTICA DEL CORSO</w:t>
      </w:r>
    </w:p>
    <w:p w14:paraId="55BF7EFD" w14:textId="2B5B7424" w:rsidR="00AD0ED4" w:rsidRPr="00677825" w:rsidRDefault="00AD0ED4" w:rsidP="00123BE3">
      <w:pPr>
        <w:pStyle w:val="Testo2"/>
        <w:rPr>
          <w:rFonts w:ascii="Times New Roman" w:hAnsi="Times New Roman"/>
          <w:szCs w:val="18"/>
        </w:rPr>
      </w:pPr>
      <w:r w:rsidRPr="00677825">
        <w:rPr>
          <w:rFonts w:ascii="Times New Roman" w:hAnsi="Times New Roman"/>
          <w:szCs w:val="18"/>
        </w:rPr>
        <w:t xml:space="preserve">Le lezioni hanno luogo secondo il metodo classico della lezione frontale con l’ausilio di slides e altro materiale di supporto. Le slides utilizzate a lezione sono a disposizione degli studenti accedendo nell’area di download nella pagina web del docente dell’Aula virtuale e di Blackboard. Durante l'anno accademico verrà </w:t>
      </w:r>
      <w:r w:rsidR="00123BE3" w:rsidRPr="00677825">
        <w:rPr>
          <w:rFonts w:ascii="Times New Roman" w:hAnsi="Times New Roman"/>
          <w:szCs w:val="18"/>
        </w:rPr>
        <w:t>messo a disposizione degli</w:t>
      </w:r>
      <w:r w:rsidRPr="00677825">
        <w:rPr>
          <w:rFonts w:ascii="Times New Roman" w:hAnsi="Times New Roman"/>
          <w:szCs w:val="18"/>
        </w:rPr>
        <w:t xml:space="preserve"> studenti materiale di documentazione per l'approfondimento di singoli aspetti della tematica trattata. </w:t>
      </w:r>
    </w:p>
    <w:p w14:paraId="2E778960" w14:textId="77777777" w:rsidR="00AD0ED4" w:rsidRPr="00677825" w:rsidRDefault="00AD0ED4" w:rsidP="00AD0ED4">
      <w:pPr>
        <w:pStyle w:val="Testo2"/>
        <w:rPr>
          <w:rFonts w:ascii="Times New Roman" w:hAnsi="Times New Roman"/>
          <w:szCs w:val="18"/>
        </w:rPr>
      </w:pPr>
      <w:r w:rsidRPr="00677825">
        <w:rPr>
          <w:rFonts w:ascii="Times New Roman" w:hAnsi="Times New Roman"/>
          <w:szCs w:val="18"/>
        </w:rPr>
        <w:t>Durante il corso saranno proposte anche alcune testimonianze di qualificati operatori del mercato bancario e finanziario.</w:t>
      </w:r>
    </w:p>
    <w:p w14:paraId="7142632B" w14:textId="77777777" w:rsidR="00AD0ED4" w:rsidRPr="00677825" w:rsidRDefault="00AD0ED4" w:rsidP="00AD0ED4">
      <w:pPr>
        <w:spacing w:before="240" w:after="120"/>
        <w:rPr>
          <w:b/>
          <w:i/>
          <w:sz w:val="18"/>
          <w:szCs w:val="18"/>
        </w:rPr>
      </w:pPr>
      <w:r w:rsidRPr="00677825">
        <w:rPr>
          <w:b/>
          <w:i/>
          <w:sz w:val="18"/>
          <w:szCs w:val="18"/>
        </w:rPr>
        <w:t>METODO E CRITERI DI VALUTAZIONE</w:t>
      </w:r>
    </w:p>
    <w:p w14:paraId="1AE35B57" w14:textId="77777777" w:rsidR="00AD0ED4" w:rsidRPr="00677825" w:rsidRDefault="00AD0ED4" w:rsidP="00AD0ED4">
      <w:pPr>
        <w:pStyle w:val="Testo2"/>
        <w:rPr>
          <w:rFonts w:ascii="Times New Roman" w:hAnsi="Times New Roman"/>
          <w:szCs w:val="18"/>
        </w:rPr>
      </w:pPr>
      <w:r w:rsidRPr="00677825">
        <w:rPr>
          <w:rFonts w:ascii="Times New Roman" w:hAnsi="Times New Roman"/>
          <w:szCs w:val="18"/>
        </w:rPr>
        <w:t>L’esame ha luogo secondo il metodo della prova scritta. In particolare la prova scritta consiste nella predisposizione di un adeguato numero di domande a risposta aperta e/o di esercizi (da un minimo di 5-6 ad un massimo di 10-12) attraverso cui il docente è in grado di accertare la preparazione dello studente.</w:t>
      </w:r>
    </w:p>
    <w:p w14:paraId="1F33CFAE" w14:textId="77777777" w:rsidR="00AD0ED4" w:rsidRPr="00677825" w:rsidRDefault="00AD0ED4" w:rsidP="00AD0ED4">
      <w:pPr>
        <w:pStyle w:val="Testo2"/>
        <w:rPr>
          <w:rFonts w:ascii="Times New Roman" w:hAnsi="Times New Roman"/>
          <w:szCs w:val="18"/>
        </w:rPr>
      </w:pPr>
      <w:r w:rsidRPr="00677825">
        <w:rPr>
          <w:rFonts w:ascii="Times New Roman" w:hAnsi="Times New Roman"/>
          <w:szCs w:val="18"/>
        </w:rPr>
        <w:t>A seconda della numerosità degli studenti previsti per l’esame è possibile la predisposizione di set di domande e/o esercizi differenziati ma di equivalente grado di difficoltà.</w:t>
      </w:r>
    </w:p>
    <w:p w14:paraId="21B30D18" w14:textId="77777777" w:rsidR="00AD0ED4" w:rsidRPr="00677825" w:rsidRDefault="00AD0ED4" w:rsidP="00AD0ED4">
      <w:pPr>
        <w:pStyle w:val="Testo2"/>
        <w:rPr>
          <w:rFonts w:ascii="Times New Roman" w:hAnsi="Times New Roman"/>
          <w:szCs w:val="18"/>
        </w:rPr>
      </w:pPr>
      <w:r w:rsidRPr="00677825">
        <w:rPr>
          <w:rFonts w:ascii="Times New Roman" w:hAnsi="Times New Roman"/>
          <w:szCs w:val="18"/>
        </w:rPr>
        <w:t xml:space="preserve">È altresì possibile (ma solo in occasione di un appello concordato con gli studenti) predisporre una modalità di esame appositamente strutturata per privelegiare gli studenti che hanno frequentato con assiduità le lezioni: in tal caso la numerosità delle domande aperte e/o degli esercizi può essere superiore a quanto previsto negli appelli ordinari e ad essi si possono affiancare anche domande a risposta chiusa (circa una dozzina) prevalentemente su temi oggetto di specifica e approfondita trattazione a lezione. </w:t>
      </w:r>
      <w:r w:rsidR="00F8437F" w:rsidRPr="00677825">
        <w:rPr>
          <w:rFonts w:ascii="Times New Roman" w:hAnsi="Times New Roman"/>
          <w:szCs w:val="18"/>
        </w:rPr>
        <w:t>È</w:t>
      </w:r>
      <w:r w:rsidRPr="00677825">
        <w:rPr>
          <w:rFonts w:ascii="Times New Roman" w:hAnsi="Times New Roman"/>
          <w:szCs w:val="18"/>
        </w:rPr>
        <w:t xml:space="preserve"> altresì possibile che tale modalità di esame possa concludersi anche con una intergrazione orale (non obbligatoria).    </w:t>
      </w:r>
    </w:p>
    <w:p w14:paraId="6D0A251D" w14:textId="77777777" w:rsidR="00AD0ED4" w:rsidRPr="00677825" w:rsidRDefault="00AD0ED4" w:rsidP="00F8437F">
      <w:pPr>
        <w:pStyle w:val="Testo2"/>
        <w:rPr>
          <w:rFonts w:ascii="Times New Roman" w:hAnsi="Times New Roman"/>
          <w:szCs w:val="18"/>
        </w:rPr>
      </w:pPr>
      <w:r w:rsidRPr="00677825">
        <w:rPr>
          <w:rFonts w:ascii="Times New Roman" w:hAnsi="Times New Roman"/>
          <w:szCs w:val="18"/>
        </w:rPr>
        <w:t>Il voto finale, espresso in trentesimi, terrà conto dell’esattezza e della qualità delle risposte (80%), nonché l’uso appropriato della terminologia specifica (20%).</w:t>
      </w:r>
    </w:p>
    <w:p w14:paraId="393EA9BE" w14:textId="77777777" w:rsidR="00AD0ED4" w:rsidRPr="00677825" w:rsidRDefault="00AD0ED4" w:rsidP="00AD0ED4">
      <w:pPr>
        <w:spacing w:before="240" w:after="120" w:line="240" w:lineRule="exact"/>
        <w:rPr>
          <w:b/>
          <w:i/>
          <w:sz w:val="18"/>
          <w:szCs w:val="18"/>
        </w:rPr>
      </w:pPr>
      <w:r w:rsidRPr="00677825">
        <w:rPr>
          <w:b/>
          <w:i/>
          <w:sz w:val="18"/>
          <w:szCs w:val="18"/>
        </w:rPr>
        <w:t>AVVERTENZE E PREREQUISITI</w:t>
      </w:r>
    </w:p>
    <w:p w14:paraId="3402C08E" w14:textId="77777777" w:rsidR="00EA2778" w:rsidRPr="00677825" w:rsidRDefault="00EA2778" w:rsidP="00EA2778">
      <w:pPr>
        <w:tabs>
          <w:tab w:val="clear" w:pos="284"/>
        </w:tabs>
        <w:spacing w:before="120"/>
        <w:outlineLvl w:val="1"/>
        <w:rPr>
          <w:smallCaps/>
          <w:noProof/>
          <w:sz w:val="18"/>
          <w:szCs w:val="18"/>
        </w:rPr>
      </w:pPr>
      <w:r w:rsidRPr="00677825">
        <w:rPr>
          <w:smallCaps/>
          <w:noProof/>
          <w:sz w:val="18"/>
          <w:szCs w:val="18"/>
        </w:rPr>
        <w:t>Obiettivi formativi che lo studente dovrebbe aver raggiunto prima di accedere al corso</w:t>
      </w:r>
    </w:p>
    <w:p w14:paraId="68A1DBF4" w14:textId="77777777" w:rsidR="00EA2778" w:rsidRPr="00677825" w:rsidRDefault="00EA2778" w:rsidP="00EA2778">
      <w:pPr>
        <w:rPr>
          <w:sz w:val="18"/>
          <w:szCs w:val="18"/>
        </w:rPr>
      </w:pPr>
      <w:r w:rsidRPr="00677825">
        <w:rPr>
          <w:sz w:val="18"/>
          <w:szCs w:val="18"/>
        </w:rPr>
        <w:t>Lo studente dovrebbe</w:t>
      </w:r>
    </w:p>
    <w:p w14:paraId="24800DB6" w14:textId="77777777" w:rsidR="00EA2778" w:rsidRPr="00677825" w:rsidRDefault="00EA2778" w:rsidP="00EA2778">
      <w:pPr>
        <w:ind w:left="284" w:hanging="284"/>
        <w:rPr>
          <w:sz w:val="18"/>
          <w:szCs w:val="18"/>
        </w:rPr>
      </w:pPr>
      <w:r w:rsidRPr="00677825">
        <w:rPr>
          <w:sz w:val="18"/>
          <w:szCs w:val="18"/>
        </w:rPr>
        <w:t>–</w:t>
      </w:r>
      <w:r w:rsidRPr="00677825">
        <w:rPr>
          <w:sz w:val="18"/>
          <w:szCs w:val="18"/>
        </w:rPr>
        <w:tab/>
        <w:t>avere la piena conoscenza del sistema degli intermediari finanziari e il ruolo in esso svolto dall’intermediazione creditizia;</w:t>
      </w:r>
    </w:p>
    <w:p w14:paraId="5F9AD270" w14:textId="77777777" w:rsidR="00EA2778" w:rsidRPr="00677825" w:rsidRDefault="00EA2778" w:rsidP="00A56324">
      <w:pPr>
        <w:ind w:left="284" w:hanging="284"/>
        <w:rPr>
          <w:sz w:val="18"/>
          <w:szCs w:val="18"/>
        </w:rPr>
      </w:pPr>
      <w:r w:rsidRPr="00677825">
        <w:rPr>
          <w:sz w:val="18"/>
          <w:szCs w:val="18"/>
        </w:rPr>
        <w:t>–</w:t>
      </w:r>
      <w:r w:rsidRPr="00677825">
        <w:rPr>
          <w:sz w:val="18"/>
          <w:szCs w:val="18"/>
        </w:rPr>
        <w:tab/>
        <w:t>conoscere la struttura dello stato patrimoniale e del conto economico della banca.</w:t>
      </w:r>
    </w:p>
    <w:p w14:paraId="5187EBED" w14:textId="77777777" w:rsidR="00B05119" w:rsidRPr="00677825" w:rsidRDefault="00A56324" w:rsidP="00A56324">
      <w:pPr>
        <w:pStyle w:val="Testo2"/>
        <w:spacing w:before="120"/>
        <w:rPr>
          <w:rFonts w:ascii="Times New Roman" w:hAnsi="Times New Roman"/>
          <w:b/>
          <w:i/>
          <w:szCs w:val="18"/>
        </w:rPr>
      </w:pPr>
      <w:r w:rsidRPr="00677825">
        <w:rPr>
          <w:rFonts w:ascii="Times New Roman" w:hAnsi="Times New Roman"/>
          <w:i/>
          <w:szCs w:val="18"/>
        </w:rPr>
        <w:t>Orario e luogo di ricevimento</w:t>
      </w:r>
    </w:p>
    <w:p w14:paraId="6672C9BF" w14:textId="706C966D" w:rsidR="00AD0ED4" w:rsidRPr="00677825" w:rsidRDefault="00AD0ED4" w:rsidP="00A56324">
      <w:pPr>
        <w:pStyle w:val="Testo2"/>
        <w:rPr>
          <w:rFonts w:ascii="Times New Roman" w:hAnsi="Times New Roman"/>
          <w:szCs w:val="18"/>
        </w:rPr>
      </w:pPr>
      <w:r w:rsidRPr="00677825">
        <w:rPr>
          <w:rFonts w:ascii="Times New Roman" w:hAnsi="Times New Roman"/>
          <w:szCs w:val="18"/>
        </w:rPr>
        <w:t>Il Prof. Alberto Banfi riceve gli studenti secondo l’oario di ricevimento che è indicato nella pagina web del docente e in Blackboard presso il Dipartimento di Scienze dell’Economia e della Gestione Aziendale, via L. Necchi, 5 (Ufficio C14, piano ammezzato).</w:t>
      </w:r>
    </w:p>
    <w:sectPr w:rsidR="00AD0ED4" w:rsidRPr="0067782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77F4" w14:textId="77777777" w:rsidR="00BA1A6D" w:rsidRDefault="00BA1A6D" w:rsidP="00BA1A6D">
      <w:pPr>
        <w:spacing w:line="240" w:lineRule="auto"/>
      </w:pPr>
      <w:r>
        <w:separator/>
      </w:r>
    </w:p>
  </w:endnote>
  <w:endnote w:type="continuationSeparator" w:id="0">
    <w:p w14:paraId="54637ADB" w14:textId="77777777" w:rsidR="00BA1A6D" w:rsidRDefault="00BA1A6D" w:rsidP="00BA1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FDBA" w14:textId="77777777" w:rsidR="00BA1A6D" w:rsidRDefault="00BA1A6D" w:rsidP="00BA1A6D">
      <w:pPr>
        <w:spacing w:line="240" w:lineRule="auto"/>
      </w:pPr>
      <w:r>
        <w:separator/>
      </w:r>
    </w:p>
  </w:footnote>
  <w:footnote w:type="continuationSeparator" w:id="0">
    <w:p w14:paraId="1629989E" w14:textId="77777777" w:rsidR="00BA1A6D" w:rsidRDefault="00BA1A6D" w:rsidP="00BA1A6D">
      <w:pPr>
        <w:spacing w:line="240" w:lineRule="auto"/>
      </w:pPr>
      <w:r>
        <w:continuationSeparator/>
      </w:r>
    </w:p>
  </w:footnote>
  <w:footnote w:id="1">
    <w:p w14:paraId="1FBE0104" w14:textId="7A59FFB2" w:rsidR="00BA1A6D" w:rsidRDefault="00BA1A6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366FF"/>
    <w:multiLevelType w:val="hybridMultilevel"/>
    <w:tmpl w:val="A96E4F48"/>
    <w:lvl w:ilvl="0" w:tplc="5E9887EA">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6822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FAC"/>
    <w:rsid w:val="00123BE3"/>
    <w:rsid w:val="00187B99"/>
    <w:rsid w:val="002014DD"/>
    <w:rsid w:val="00211EDC"/>
    <w:rsid w:val="002D5E17"/>
    <w:rsid w:val="003011C5"/>
    <w:rsid w:val="0037484F"/>
    <w:rsid w:val="004A5C8A"/>
    <w:rsid w:val="004D1217"/>
    <w:rsid w:val="004D6008"/>
    <w:rsid w:val="00512501"/>
    <w:rsid w:val="00640794"/>
    <w:rsid w:val="00644FF8"/>
    <w:rsid w:val="00677825"/>
    <w:rsid w:val="006B2384"/>
    <w:rsid w:val="006E1829"/>
    <w:rsid w:val="006F1772"/>
    <w:rsid w:val="008942E7"/>
    <w:rsid w:val="008A1204"/>
    <w:rsid w:val="00900CCA"/>
    <w:rsid w:val="00924B77"/>
    <w:rsid w:val="00940DA2"/>
    <w:rsid w:val="009E055C"/>
    <w:rsid w:val="009F5C18"/>
    <w:rsid w:val="00A56324"/>
    <w:rsid w:val="00A74F6F"/>
    <w:rsid w:val="00A93572"/>
    <w:rsid w:val="00A97FAC"/>
    <w:rsid w:val="00AD0ED4"/>
    <w:rsid w:val="00AD7557"/>
    <w:rsid w:val="00B05119"/>
    <w:rsid w:val="00B50C5D"/>
    <w:rsid w:val="00B51253"/>
    <w:rsid w:val="00B525CC"/>
    <w:rsid w:val="00BA1A6D"/>
    <w:rsid w:val="00BC4779"/>
    <w:rsid w:val="00D0566B"/>
    <w:rsid w:val="00D404F2"/>
    <w:rsid w:val="00DD0633"/>
    <w:rsid w:val="00E43A86"/>
    <w:rsid w:val="00E607E6"/>
    <w:rsid w:val="00EA2778"/>
    <w:rsid w:val="00F24708"/>
    <w:rsid w:val="00F252A9"/>
    <w:rsid w:val="00F843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0D09D"/>
  <w15:docId w15:val="{810A5437-8B73-45C3-B1D5-9D7F932F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D0ED4"/>
    <w:pPr>
      <w:tabs>
        <w:tab w:val="clear" w:pos="284"/>
      </w:tabs>
      <w:spacing w:line="240" w:lineRule="auto"/>
      <w:ind w:left="720"/>
      <w:contextualSpacing/>
      <w:jc w:val="left"/>
    </w:pPr>
    <w:rPr>
      <w:szCs w:val="20"/>
    </w:rPr>
  </w:style>
  <w:style w:type="character" w:styleId="Enfasigrassetto">
    <w:name w:val="Strong"/>
    <w:basedOn w:val="Carpredefinitoparagrafo"/>
    <w:uiPriority w:val="22"/>
    <w:qFormat/>
    <w:rsid w:val="00AD0ED4"/>
    <w:rPr>
      <w:b/>
      <w:bCs/>
    </w:rPr>
  </w:style>
  <w:style w:type="paragraph" w:styleId="Testonotaapidipagina">
    <w:name w:val="footnote text"/>
    <w:basedOn w:val="Normale"/>
    <w:link w:val="TestonotaapidipaginaCarattere"/>
    <w:semiHidden/>
    <w:unhideWhenUsed/>
    <w:rsid w:val="00BA1A6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A1A6D"/>
  </w:style>
  <w:style w:type="character" w:styleId="Rimandonotaapidipagina">
    <w:name w:val="footnote reference"/>
    <w:basedOn w:val="Carpredefinitoparagrafo"/>
    <w:semiHidden/>
    <w:unhideWhenUsed/>
    <w:rsid w:val="00BA1A6D"/>
    <w:rPr>
      <w:vertAlign w:val="superscript"/>
    </w:rPr>
  </w:style>
  <w:style w:type="character" w:styleId="Collegamentoipertestuale">
    <w:name w:val="Hyperlink"/>
    <w:basedOn w:val="Carpredefinitoparagrafo"/>
    <w:unhideWhenUsed/>
    <w:rsid w:val="00BA1A6D"/>
    <w:rPr>
      <w:color w:val="0563C1" w:themeColor="hyperlink"/>
      <w:u w:val="single"/>
    </w:rPr>
  </w:style>
  <w:style w:type="character" w:styleId="Menzionenonrisolta">
    <w:name w:val="Unresolved Mention"/>
    <w:basedOn w:val="Carpredefinitoparagrafo"/>
    <w:uiPriority w:val="99"/>
    <w:semiHidden/>
    <w:unhideWhenUsed/>
    <w:rsid w:val="00BA1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berto-banfi-massimo-biasin-marco-oriani/economia-degli-intermediari-finanziari-9788880084068-70496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banfi-alberto-di-pasquali-fiorenzo/le-banche-centrali-negli-anni-della-crisi-loperativita-della-banca-centrale-europea-della-banca-ditalia-e-della-federal-reserve-9788880083740-18833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1BE14-5FB0-4127-B363-71406B0F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991</Words>
  <Characters>6411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2023-04-24T15:25:00Z</dcterms:created>
  <dcterms:modified xsi:type="dcterms:W3CDTF">2023-06-26T09:16:00Z</dcterms:modified>
</cp:coreProperties>
</file>