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F90F" w14:textId="77777777" w:rsidR="002D5E17" w:rsidRPr="00935C54" w:rsidRDefault="00303544" w:rsidP="002D5E17">
      <w:pPr>
        <w:pStyle w:val="Titolo1"/>
        <w:rPr>
          <w:rFonts w:cs="Times"/>
        </w:rPr>
      </w:pPr>
      <w:r w:rsidRPr="00935C54">
        <w:rPr>
          <w:rFonts w:cs="Times"/>
        </w:rPr>
        <w:t>Diritto europeo dell’economia</w:t>
      </w:r>
    </w:p>
    <w:p w14:paraId="12CA878C" w14:textId="7F4E3C79" w:rsidR="00303544" w:rsidRPr="009B47C1" w:rsidRDefault="00303544" w:rsidP="00303544">
      <w:pPr>
        <w:pStyle w:val="Titolo2"/>
        <w:rPr>
          <w:rFonts w:cs="Times"/>
        </w:rPr>
      </w:pPr>
      <w:r w:rsidRPr="009B47C1">
        <w:rPr>
          <w:rFonts w:cs="Times"/>
        </w:rPr>
        <w:t xml:space="preserve">Prof. </w:t>
      </w:r>
      <w:r w:rsidR="00BD3D45" w:rsidRPr="009B47C1">
        <w:rPr>
          <w:rFonts w:cs="Times"/>
        </w:rPr>
        <w:t>Matteo Arrigoni</w:t>
      </w:r>
      <w:r w:rsidR="000D60A5">
        <w:rPr>
          <w:rFonts w:cs="Times"/>
        </w:rPr>
        <w:t>, Prof. Marianna VAnuzzo</w:t>
      </w:r>
    </w:p>
    <w:p w14:paraId="7EBECA31"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OBIETTIVO DEL CORSO E RISULTATI DI APPRENDIMENTO ATTESI</w:t>
      </w:r>
    </w:p>
    <w:p w14:paraId="785FACD0" w14:textId="4EE22999" w:rsidR="00303544" w:rsidRPr="00935C54" w:rsidRDefault="00303544" w:rsidP="00303544">
      <w:pPr>
        <w:spacing w:line="240" w:lineRule="exact"/>
        <w:rPr>
          <w:rFonts w:ascii="Times" w:hAnsi="Times" w:cs="Times"/>
          <w:szCs w:val="20"/>
        </w:rPr>
      </w:pPr>
      <w:r w:rsidRPr="00935C54">
        <w:rPr>
          <w:rFonts w:ascii="Times" w:hAnsi="Times" w:cs="Times"/>
          <w:szCs w:val="20"/>
        </w:rPr>
        <w:t xml:space="preserve">Il corso intende illustrare in modo critico le ragioni che giustificano la disciplina europea dell’economia, discutendo le principali strategie normative utilizzate dall’Unione europea, con particolare riferimento all’attività bancaria, al mercato dei capitali e all’attività assicurativa. All’esito del corso, lo studente sarà in grado di conoscere nei suoi termini essenziali: (1) le origini, le finalità e l’assetto istituzionale dell’Unione europea; (2) la disciplina del mercato interno, le quattro libertà di circolazione e il sistema del mutuo riconoscimento; (3) la disciplina per la tutela della concorrenza; (4) la moneta unica e la funzione della Banca centrale europea; (5) l’Unione bancaria e la </w:t>
      </w:r>
      <w:r w:rsidRPr="00935C54">
        <w:rPr>
          <w:rFonts w:ascii="Times" w:hAnsi="Times" w:cs="Times"/>
          <w:i/>
          <w:szCs w:val="20"/>
        </w:rPr>
        <w:t>Capital Markets Union.</w:t>
      </w:r>
      <w:r w:rsidRPr="00935C54">
        <w:rPr>
          <w:rFonts w:ascii="Times" w:hAnsi="Times" w:cs="Times"/>
          <w:szCs w:val="20"/>
        </w:rPr>
        <w:t xml:space="preserve"> </w:t>
      </w:r>
      <w:r w:rsidR="00A31B96" w:rsidRPr="00935C54">
        <w:rPr>
          <w:rFonts w:ascii="Times" w:hAnsi="Times" w:cs="Times"/>
          <w:szCs w:val="20"/>
        </w:rPr>
        <w:t>Allo stesso tempo</w:t>
      </w:r>
      <w:r w:rsidRPr="00935C54">
        <w:rPr>
          <w:rFonts w:ascii="Times" w:hAnsi="Times" w:cs="Times"/>
          <w:szCs w:val="20"/>
        </w:rPr>
        <w:t>, lo studente imparerà a riconoscere le implicazioni economiche delle scelte operate dalle norme giuridiche e a essere consapevole dei processi politici che conducono alla loro formazione.</w:t>
      </w:r>
    </w:p>
    <w:p w14:paraId="0975A0E0"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PROGRAMMA DEL CORSO</w:t>
      </w:r>
    </w:p>
    <w:p w14:paraId="00A967DA"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Dalla Comunità europea del carbone e dell’acciaio all’Unione europea. Le attribuzioni dell’Unione europea. Competenza esclusiva e competenza concorrente. Il principio di sussidiarietà e di principio di proporzionalità. Le istituzioni dell’Unione europea e le loro funzioni.</w:t>
      </w:r>
    </w:p>
    <w:p w14:paraId="7E01CBB1"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Il mercato interno. Integrazione negativa e integrazione positiva. Le libertà di circolazione e il sistema del mutuo riconoscimento. L’armonizzazione delle discipline.</w:t>
      </w:r>
    </w:p>
    <w:p w14:paraId="25F039AB"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La disciplina della concorrenza. Le intese lesive della concorrenza e l’abuso di posizione dominante. Il divieto di aiuti di Stato e il suo ambito di applicazione.</w:t>
      </w:r>
    </w:p>
    <w:p w14:paraId="0BE11796"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L’euro e la funzione della Banca centrale europea. Il problema della separazione tra politica monetaria e politica fiscale. Le misure per la stabilità della moneta unica. La Banca centrale europea e le scelte di politica monetaria.</w:t>
      </w:r>
    </w:p>
    <w:p w14:paraId="55528D63" w14:textId="77777777" w:rsidR="00303544" w:rsidRPr="00935C54" w:rsidRDefault="00303544" w:rsidP="005F44D9">
      <w:pPr>
        <w:pStyle w:val="Paragrafoelenco"/>
        <w:numPr>
          <w:ilvl w:val="0"/>
          <w:numId w:val="2"/>
        </w:numPr>
        <w:ind w:left="284" w:hanging="284"/>
        <w:rPr>
          <w:rFonts w:ascii="Times" w:hAnsi="Times" w:cs="Times"/>
          <w:szCs w:val="20"/>
        </w:rPr>
      </w:pPr>
      <w:r w:rsidRPr="00935C54">
        <w:rPr>
          <w:rFonts w:ascii="Times" w:hAnsi="Times" w:cs="Times"/>
          <w:szCs w:val="20"/>
        </w:rPr>
        <w:t xml:space="preserve">L’Unione bancaria e la </w:t>
      </w:r>
      <w:r w:rsidRPr="00935C54">
        <w:rPr>
          <w:rFonts w:ascii="Times" w:hAnsi="Times" w:cs="Times"/>
          <w:i/>
          <w:szCs w:val="20"/>
        </w:rPr>
        <w:t>Capital Markets Union</w:t>
      </w:r>
      <w:r w:rsidRPr="00935C54">
        <w:rPr>
          <w:rFonts w:ascii="Times" w:hAnsi="Times" w:cs="Times"/>
          <w:iCs/>
          <w:szCs w:val="20"/>
        </w:rPr>
        <w:t xml:space="preserve">. La crisi dell’euro e le sue possibili soluzioni. Sistema unico di vigilanza e sistema unico di risoluzione delle crisi bancarie. Il sistema europea per la garanzia dei depositi. Lo sviluppo del mercato dei capitali e la </w:t>
      </w:r>
      <w:r w:rsidRPr="00935C54">
        <w:rPr>
          <w:rFonts w:ascii="Times" w:hAnsi="Times" w:cs="Times"/>
          <w:i/>
          <w:szCs w:val="20"/>
        </w:rPr>
        <w:t>Capital Markets Union</w:t>
      </w:r>
      <w:r w:rsidRPr="00935C54">
        <w:rPr>
          <w:rFonts w:ascii="Times" w:hAnsi="Times" w:cs="Times"/>
          <w:iCs/>
          <w:szCs w:val="20"/>
        </w:rPr>
        <w:t>.</w:t>
      </w:r>
    </w:p>
    <w:p w14:paraId="5B06FC22" w14:textId="05A9C359" w:rsidR="00303544" w:rsidRPr="009B47C1" w:rsidRDefault="00303544" w:rsidP="005F44D9">
      <w:pPr>
        <w:spacing w:before="240" w:after="120" w:line="240" w:lineRule="exact"/>
        <w:rPr>
          <w:rFonts w:ascii="Times" w:hAnsi="Times" w:cs="Times"/>
          <w:b/>
          <w:i/>
          <w:sz w:val="18"/>
          <w:szCs w:val="20"/>
        </w:rPr>
      </w:pPr>
      <w:r w:rsidRPr="009B47C1">
        <w:rPr>
          <w:rFonts w:ascii="Times" w:hAnsi="Times" w:cs="Times"/>
          <w:b/>
          <w:i/>
          <w:sz w:val="18"/>
          <w:szCs w:val="20"/>
        </w:rPr>
        <w:lastRenderedPageBreak/>
        <w:t>BIBLIOGRAFIA</w:t>
      </w:r>
      <w:r w:rsidR="002601B7">
        <w:rPr>
          <w:rStyle w:val="Rimandonotaapidipagina"/>
          <w:rFonts w:ascii="Times" w:hAnsi="Times" w:cs="Times"/>
          <w:b/>
          <w:i/>
          <w:sz w:val="18"/>
          <w:szCs w:val="20"/>
        </w:rPr>
        <w:footnoteReference w:id="1"/>
      </w:r>
    </w:p>
    <w:p w14:paraId="5FE38BF0" w14:textId="472BFD36" w:rsidR="00303544" w:rsidRPr="00935C54" w:rsidRDefault="00303544" w:rsidP="005F44D9">
      <w:pPr>
        <w:pStyle w:val="Testo1"/>
        <w:rPr>
          <w:rFonts w:cs="Times"/>
          <w:sz w:val="20"/>
        </w:rPr>
      </w:pPr>
      <w:r w:rsidRPr="00935C54">
        <w:rPr>
          <w:rFonts w:cs="Times"/>
          <w:sz w:val="20"/>
        </w:rPr>
        <w:t xml:space="preserve">Gli studenti </w:t>
      </w:r>
      <w:r w:rsidRPr="00935C54">
        <w:rPr>
          <w:rFonts w:cs="Times"/>
          <w:i/>
          <w:sz w:val="20"/>
        </w:rPr>
        <w:t>frequentanti</w:t>
      </w:r>
      <w:r w:rsidRPr="00935C54">
        <w:rPr>
          <w:rFonts w:cs="Times"/>
          <w:sz w:val="20"/>
        </w:rPr>
        <w:t xml:space="preserve"> preparano l’esame sulla base degli appunti, dei materiali utilizzati a lezione e di alcune parti dei testi indicati in bibliografia, come </w:t>
      </w:r>
      <w:r w:rsidR="00557EA7" w:rsidRPr="00935C54">
        <w:rPr>
          <w:rFonts w:cs="Times"/>
          <w:sz w:val="20"/>
        </w:rPr>
        <w:t xml:space="preserve">da </w:t>
      </w:r>
      <w:r w:rsidRPr="00935C54">
        <w:rPr>
          <w:rFonts w:cs="Times"/>
          <w:sz w:val="20"/>
        </w:rPr>
        <w:t xml:space="preserve">indicazioni contenute nella pagina </w:t>
      </w:r>
      <w:r w:rsidRPr="00935C54">
        <w:rPr>
          <w:rFonts w:cs="Times"/>
          <w:i/>
          <w:sz w:val="20"/>
        </w:rPr>
        <w:t>Blackboard</w:t>
      </w:r>
      <w:r w:rsidRPr="00935C54">
        <w:rPr>
          <w:rFonts w:cs="Times"/>
          <w:sz w:val="20"/>
        </w:rPr>
        <w:t xml:space="preserve"> del corso.</w:t>
      </w:r>
    </w:p>
    <w:p w14:paraId="377C4E14" w14:textId="7D1B1CB4" w:rsidR="00303544" w:rsidRPr="00935C54" w:rsidRDefault="00303544" w:rsidP="00470F50">
      <w:pPr>
        <w:pStyle w:val="Testo1"/>
        <w:rPr>
          <w:rFonts w:cs="Times"/>
          <w:sz w:val="20"/>
        </w:rPr>
      </w:pPr>
      <w:r w:rsidRPr="00935C54">
        <w:rPr>
          <w:rFonts w:cs="Times"/>
          <w:sz w:val="20"/>
        </w:rPr>
        <w:t xml:space="preserve">Gli studenti </w:t>
      </w:r>
      <w:r w:rsidRPr="00935C54">
        <w:rPr>
          <w:rFonts w:cs="Times"/>
          <w:i/>
          <w:sz w:val="20"/>
        </w:rPr>
        <w:t>non frequentanti</w:t>
      </w:r>
      <w:r w:rsidRPr="00935C54">
        <w:rPr>
          <w:rFonts w:cs="Times"/>
          <w:sz w:val="20"/>
        </w:rPr>
        <w:t xml:space="preserve"> preparano l’esame sulla base dell</w:t>
      </w:r>
      <w:r w:rsidR="00470F50" w:rsidRPr="00935C54">
        <w:rPr>
          <w:rFonts w:cs="Times"/>
          <w:sz w:val="20"/>
        </w:rPr>
        <w:t xml:space="preserve">a bibliografia indicata sulla pagina </w:t>
      </w:r>
      <w:r w:rsidR="00470F50" w:rsidRPr="00935C54">
        <w:rPr>
          <w:rFonts w:cs="Times"/>
          <w:i/>
          <w:sz w:val="20"/>
        </w:rPr>
        <w:t>Blackboard</w:t>
      </w:r>
      <w:r w:rsidR="00470F50" w:rsidRPr="00935C54">
        <w:rPr>
          <w:rFonts w:cs="Times"/>
          <w:sz w:val="20"/>
        </w:rPr>
        <w:t xml:space="preserve"> del corso.</w:t>
      </w:r>
    </w:p>
    <w:p w14:paraId="36CC3194" w14:textId="77777777" w:rsidR="00303544" w:rsidRPr="009B47C1" w:rsidRDefault="00303544" w:rsidP="00303544">
      <w:pPr>
        <w:spacing w:before="240" w:after="120"/>
        <w:rPr>
          <w:rFonts w:ascii="Times" w:hAnsi="Times" w:cs="Times"/>
          <w:b/>
          <w:i/>
          <w:sz w:val="18"/>
          <w:szCs w:val="20"/>
        </w:rPr>
      </w:pPr>
      <w:r w:rsidRPr="009B47C1">
        <w:rPr>
          <w:rFonts w:ascii="Times" w:hAnsi="Times" w:cs="Times"/>
          <w:b/>
          <w:i/>
          <w:sz w:val="18"/>
          <w:szCs w:val="20"/>
        </w:rPr>
        <w:t>DIDATTICA DEL CORSO</w:t>
      </w:r>
    </w:p>
    <w:p w14:paraId="5296CC36" w14:textId="77777777" w:rsidR="00303544" w:rsidRPr="009B47C1" w:rsidRDefault="00303544" w:rsidP="00303544">
      <w:pPr>
        <w:pStyle w:val="Testo2"/>
        <w:rPr>
          <w:rFonts w:cs="Times"/>
        </w:rPr>
      </w:pPr>
      <w:r w:rsidRPr="009B47C1">
        <w:rPr>
          <w:rFonts w:cs="Times"/>
        </w:rPr>
        <w:t>Il corso si svolge con lezioni in aula organizzate in modo da favorire la discussione e gli interventi da parte degli studenti.</w:t>
      </w:r>
    </w:p>
    <w:p w14:paraId="7E251E76" w14:textId="77777777" w:rsidR="00303544" w:rsidRPr="009B47C1" w:rsidRDefault="00303544" w:rsidP="00303544">
      <w:pPr>
        <w:spacing w:before="240" w:after="120"/>
        <w:rPr>
          <w:rFonts w:ascii="Times" w:hAnsi="Times" w:cs="Times"/>
          <w:b/>
          <w:i/>
          <w:sz w:val="18"/>
          <w:szCs w:val="20"/>
        </w:rPr>
      </w:pPr>
      <w:r w:rsidRPr="009B47C1">
        <w:rPr>
          <w:rFonts w:ascii="Times" w:hAnsi="Times" w:cs="Times"/>
          <w:b/>
          <w:i/>
          <w:sz w:val="18"/>
          <w:szCs w:val="20"/>
        </w:rPr>
        <w:t>METODO E CRITERI DI VALUTAZIONE</w:t>
      </w:r>
    </w:p>
    <w:p w14:paraId="710E95D1" w14:textId="77777777" w:rsidR="00303544" w:rsidRPr="009B47C1" w:rsidRDefault="00303544" w:rsidP="00303544">
      <w:pPr>
        <w:pStyle w:val="Testo2"/>
        <w:rPr>
          <w:rFonts w:cs="Times"/>
        </w:rPr>
      </w:pPr>
      <w:r w:rsidRPr="009B47C1">
        <w:rPr>
          <w:rFonts w:cs="Times"/>
        </w:rPr>
        <w:t>L’esame consiste in un colloquio orale volto a verificare la conoscenza degli argomenti, la capacità di analisi critica dei contenuti e la padronanza del lessico specifico della materia.</w:t>
      </w:r>
    </w:p>
    <w:p w14:paraId="579663FE" w14:textId="77777777" w:rsidR="00303544" w:rsidRPr="009B47C1" w:rsidRDefault="00303544" w:rsidP="00303544">
      <w:pPr>
        <w:pStyle w:val="Testo2"/>
        <w:rPr>
          <w:rFonts w:cs="Times"/>
        </w:rPr>
      </w:pPr>
      <w:r w:rsidRPr="009B47C1">
        <w:rPr>
          <w:rFonts w:cs="Times"/>
        </w:rPr>
        <w:t>Il voto verrà stabilito sulla base dell’esattezza e della qualità delle risposte (60%), della capacità di motivare adeguatamente affermazioni, analisi e giudizi (30%), nonché dell’abilità comunicativa (10%). Nella valutazione finale verrà tenuto conto anche degli interventi durante la discussione in aula.</w:t>
      </w:r>
    </w:p>
    <w:p w14:paraId="3F86E4DC" w14:textId="77777777" w:rsidR="00303544" w:rsidRPr="009B47C1" w:rsidRDefault="00303544" w:rsidP="00303544">
      <w:pPr>
        <w:spacing w:before="240" w:after="120" w:line="240" w:lineRule="exact"/>
        <w:rPr>
          <w:rFonts w:ascii="Times" w:hAnsi="Times" w:cs="Times"/>
          <w:b/>
          <w:i/>
          <w:sz w:val="18"/>
          <w:szCs w:val="20"/>
        </w:rPr>
      </w:pPr>
      <w:r w:rsidRPr="009B47C1">
        <w:rPr>
          <w:rFonts w:ascii="Times" w:hAnsi="Times" w:cs="Times"/>
          <w:b/>
          <w:i/>
          <w:sz w:val="18"/>
          <w:szCs w:val="20"/>
        </w:rPr>
        <w:t>AVVERTENZE E PREREQUISITI</w:t>
      </w:r>
    </w:p>
    <w:p w14:paraId="3506A0BE" w14:textId="13E876D2" w:rsidR="00303544" w:rsidRPr="009B47C1" w:rsidRDefault="00303544" w:rsidP="00EA6934">
      <w:pPr>
        <w:pStyle w:val="Testo2"/>
        <w:rPr>
          <w:rFonts w:cs="Times"/>
        </w:rPr>
      </w:pPr>
      <w:r w:rsidRPr="009B47C1">
        <w:rPr>
          <w:rFonts w:cs="Times"/>
        </w:rPr>
        <w:t>Le caratteristiche interdisciplinari della materia suggeriscono vivamente la frequenza al corso. È indispensabile, ai fini del superamento dell’esame, la conoscenza delle norme citate nel corso delle lezioni o nei testi indicati in bibliografia. Non è richiesto alcun prerequisito, ma si consiglia di non sostenere l’esame prima di aver preparato - e possibilmente superato - l’esame di Istituzioni di diritto privato.</w:t>
      </w:r>
    </w:p>
    <w:p w14:paraId="58232257" w14:textId="0EAF71CA" w:rsidR="00EA6934" w:rsidRPr="009B47C1" w:rsidRDefault="00EA6934" w:rsidP="00EA6934">
      <w:pPr>
        <w:tabs>
          <w:tab w:val="clear" w:pos="284"/>
        </w:tabs>
        <w:autoSpaceDE w:val="0"/>
        <w:autoSpaceDN w:val="0"/>
        <w:adjustRightInd w:val="0"/>
        <w:spacing w:line="240" w:lineRule="auto"/>
        <w:ind w:firstLine="284"/>
        <w:rPr>
          <w:rFonts w:ascii="Times" w:hAnsi="Times" w:cs="Times"/>
          <w:sz w:val="18"/>
          <w:szCs w:val="20"/>
        </w:rPr>
      </w:pPr>
      <w:r w:rsidRPr="009B47C1">
        <w:rPr>
          <w:rFonts w:ascii="Times" w:hAnsi="Times" w:cs="Times"/>
          <w:sz w:val="18"/>
          <w:szCs w:val="20"/>
        </w:rPr>
        <w:t>Nel caso in cui le restrizioni dovute alla pandemia di Covid-19 dovessero perdurare, sarà garantita l’erogazione dell’insegnamento anche a distanza con modalità che verranno comunicate in tempo utile agli studenti.</w:t>
      </w:r>
    </w:p>
    <w:p w14:paraId="5A51642D" w14:textId="77777777" w:rsidR="00303544" w:rsidRPr="009B47C1" w:rsidRDefault="00303544" w:rsidP="00303544">
      <w:pPr>
        <w:pStyle w:val="Testo2"/>
        <w:spacing w:before="120"/>
        <w:rPr>
          <w:rFonts w:cs="Times"/>
          <w:i/>
        </w:rPr>
      </w:pPr>
      <w:r w:rsidRPr="009B47C1">
        <w:rPr>
          <w:rFonts w:cs="Times"/>
          <w:i/>
        </w:rPr>
        <w:t>Orario e luogo di ricevimento</w:t>
      </w:r>
    </w:p>
    <w:p w14:paraId="36599E98" w14:textId="54884BEA" w:rsidR="00A53D02" w:rsidRDefault="00303544" w:rsidP="00A53D02">
      <w:pPr>
        <w:pStyle w:val="Testo2"/>
        <w:rPr>
          <w:rFonts w:cs="Times"/>
        </w:rPr>
      </w:pPr>
      <w:r w:rsidRPr="009B47C1">
        <w:rPr>
          <w:rFonts w:cs="Times"/>
        </w:rPr>
        <w:t xml:space="preserve">Il Prof. </w:t>
      </w:r>
      <w:r w:rsidR="00781524" w:rsidRPr="009B47C1">
        <w:rPr>
          <w:rFonts w:cs="Times"/>
        </w:rPr>
        <w:t>Matteo Arrigoni</w:t>
      </w:r>
      <w:r w:rsidRPr="009B47C1">
        <w:rPr>
          <w:rFonts w:cs="Times"/>
        </w:rPr>
        <w:t xml:space="preserve"> riceve gli studenti come da indicazione sulla pagina web del sito dell’Università o su appuntamento da concordare inviando una email all’indirizzo </w:t>
      </w:r>
      <w:hyperlink r:id="rId8" w:history="1">
        <w:r w:rsidR="00A53D02" w:rsidRPr="006629FE">
          <w:rPr>
            <w:rStyle w:val="Collegamentoipertestuale"/>
            <w:rFonts w:cs="Times"/>
          </w:rPr>
          <w:t>matteo.arrigoni@unicatt.it</w:t>
        </w:r>
      </w:hyperlink>
      <w:r w:rsidR="00A53D02">
        <w:rPr>
          <w:rFonts w:cs="Times"/>
        </w:rPr>
        <w:t>.</w:t>
      </w:r>
    </w:p>
    <w:p w14:paraId="758228D2" w14:textId="323DEBF4" w:rsidR="00A53D02" w:rsidRDefault="00A53D02" w:rsidP="00A53D02">
      <w:pPr>
        <w:pStyle w:val="Testo2"/>
        <w:rPr>
          <w:rFonts w:cs="Times"/>
        </w:rPr>
      </w:pPr>
      <w:r>
        <w:rPr>
          <w:rFonts w:cs="Times"/>
        </w:rPr>
        <w:t xml:space="preserve">La Prof.ssa Marianna Vanuzzo </w:t>
      </w:r>
      <w:r w:rsidRPr="009B47C1">
        <w:rPr>
          <w:rFonts w:cs="Times"/>
        </w:rPr>
        <w:t xml:space="preserve">riceve gli studenti su appuntamento da concordare inviando una email all’indirizzo </w:t>
      </w:r>
      <w:hyperlink r:id="rId9" w:history="1">
        <w:r w:rsidRPr="006629FE">
          <w:rPr>
            <w:rStyle w:val="Collegamentoipertestuale"/>
            <w:rFonts w:cs="Times"/>
          </w:rPr>
          <w:t>marianna.vanuzzo@unicatt.it</w:t>
        </w:r>
      </w:hyperlink>
      <w:r>
        <w:rPr>
          <w:rFonts w:cs="Times"/>
        </w:rPr>
        <w:t>.</w:t>
      </w:r>
    </w:p>
    <w:p w14:paraId="2E8E5F5E" w14:textId="77777777" w:rsidR="00A53D02" w:rsidRDefault="00A53D02" w:rsidP="00A53D02">
      <w:pPr>
        <w:pStyle w:val="Testo2"/>
        <w:rPr>
          <w:rFonts w:cs="Times"/>
        </w:rPr>
      </w:pPr>
    </w:p>
    <w:p w14:paraId="0BD53D55" w14:textId="77777777" w:rsidR="00A53D02" w:rsidRPr="009B47C1" w:rsidRDefault="00A53D02" w:rsidP="00A53D02">
      <w:pPr>
        <w:pStyle w:val="Testo2"/>
        <w:rPr>
          <w:rFonts w:cs="Times"/>
        </w:rPr>
      </w:pPr>
    </w:p>
    <w:sectPr w:rsidR="00A53D02" w:rsidRPr="009B47C1" w:rsidSect="004D1217">
      <w:headerReference w:type="even" r:id="rId10"/>
      <w:headerReference w:type="default" r:id="rId11"/>
      <w:footerReference w:type="even" r:id="rId12"/>
      <w:footerReference w:type="default" r:id="rId13"/>
      <w:headerReference w:type="first" r:id="rId14"/>
      <w:footerReference w:type="firs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6D0B" w14:textId="77777777" w:rsidR="00912005" w:rsidRDefault="00912005" w:rsidP="00363FC5">
      <w:pPr>
        <w:spacing w:line="240" w:lineRule="auto"/>
      </w:pPr>
      <w:r>
        <w:separator/>
      </w:r>
    </w:p>
  </w:endnote>
  <w:endnote w:type="continuationSeparator" w:id="0">
    <w:p w14:paraId="794E2FA4" w14:textId="77777777" w:rsidR="00912005" w:rsidRDefault="00912005"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807" w14:textId="77777777" w:rsidR="00363FC5" w:rsidRDefault="0036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E4F" w14:textId="77777777" w:rsidR="00363FC5" w:rsidRDefault="00363F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8B7" w14:textId="77777777" w:rsidR="00363FC5" w:rsidRDefault="0036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09D" w14:textId="77777777" w:rsidR="00912005" w:rsidRDefault="00912005" w:rsidP="00363FC5">
      <w:pPr>
        <w:spacing w:line="240" w:lineRule="auto"/>
      </w:pPr>
      <w:r>
        <w:separator/>
      </w:r>
    </w:p>
  </w:footnote>
  <w:footnote w:type="continuationSeparator" w:id="0">
    <w:p w14:paraId="486B87F1" w14:textId="77777777" w:rsidR="00912005" w:rsidRDefault="00912005" w:rsidP="00363FC5">
      <w:pPr>
        <w:spacing w:line="240" w:lineRule="auto"/>
      </w:pPr>
      <w:r>
        <w:continuationSeparator/>
      </w:r>
    </w:p>
  </w:footnote>
  <w:footnote w:id="1">
    <w:p w14:paraId="5CB7E587" w14:textId="58DB20F0" w:rsidR="002601B7" w:rsidRDefault="002601B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3B1" w14:textId="77777777" w:rsidR="00363FC5" w:rsidRDefault="00363F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C30" w14:textId="77777777" w:rsidR="00363FC5" w:rsidRDefault="00363F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2744" w14:textId="77777777" w:rsidR="00363FC5" w:rsidRDefault="00363F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9722392">
    <w:abstractNumId w:val="1"/>
  </w:num>
  <w:num w:numId="2" w16cid:durableId="59579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94"/>
    <w:rsid w:val="00020494"/>
    <w:rsid w:val="00085B1D"/>
    <w:rsid w:val="000D60A5"/>
    <w:rsid w:val="001525A3"/>
    <w:rsid w:val="00187B99"/>
    <w:rsid w:val="002014DD"/>
    <w:rsid w:val="002601B7"/>
    <w:rsid w:val="002D5E17"/>
    <w:rsid w:val="00303544"/>
    <w:rsid w:val="00363FC5"/>
    <w:rsid w:val="00414962"/>
    <w:rsid w:val="00450C05"/>
    <w:rsid w:val="00470F50"/>
    <w:rsid w:val="004D1217"/>
    <w:rsid w:val="004D6008"/>
    <w:rsid w:val="005201FB"/>
    <w:rsid w:val="00557EA7"/>
    <w:rsid w:val="005E41B3"/>
    <w:rsid w:val="005F44D9"/>
    <w:rsid w:val="00640794"/>
    <w:rsid w:val="006F1772"/>
    <w:rsid w:val="00781524"/>
    <w:rsid w:val="007D5147"/>
    <w:rsid w:val="008942E7"/>
    <w:rsid w:val="008A1204"/>
    <w:rsid w:val="00900CCA"/>
    <w:rsid w:val="00912005"/>
    <w:rsid w:val="00924B77"/>
    <w:rsid w:val="00935C54"/>
    <w:rsid w:val="00940DA2"/>
    <w:rsid w:val="009B47C1"/>
    <w:rsid w:val="009E055C"/>
    <w:rsid w:val="00A16EBB"/>
    <w:rsid w:val="00A31B96"/>
    <w:rsid w:val="00A53D02"/>
    <w:rsid w:val="00A74F6F"/>
    <w:rsid w:val="00AC1423"/>
    <w:rsid w:val="00AD41F2"/>
    <w:rsid w:val="00AD7557"/>
    <w:rsid w:val="00B50C5D"/>
    <w:rsid w:val="00B51253"/>
    <w:rsid w:val="00B525CC"/>
    <w:rsid w:val="00BD3D45"/>
    <w:rsid w:val="00CE54FE"/>
    <w:rsid w:val="00CE5674"/>
    <w:rsid w:val="00D01ADD"/>
    <w:rsid w:val="00D404F2"/>
    <w:rsid w:val="00D96C6A"/>
    <w:rsid w:val="00E55649"/>
    <w:rsid w:val="00E607E6"/>
    <w:rsid w:val="00EA6934"/>
    <w:rsid w:val="00ED5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15:chartTrackingRefBased/>
  <w15:docId w15:val="{20A72CC2-BF1E-4746-B482-23F3754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 w:type="character" w:styleId="Collegamentoipertestuale">
    <w:name w:val="Hyperlink"/>
    <w:basedOn w:val="Carpredefinitoparagrafo"/>
    <w:rsid w:val="00A53D02"/>
    <w:rPr>
      <w:color w:val="0563C1" w:themeColor="hyperlink"/>
      <w:u w:val="single"/>
    </w:rPr>
  </w:style>
  <w:style w:type="character" w:styleId="Menzionenonrisolta">
    <w:name w:val="Unresolved Mention"/>
    <w:basedOn w:val="Carpredefinitoparagrafo"/>
    <w:uiPriority w:val="99"/>
    <w:semiHidden/>
    <w:unhideWhenUsed/>
    <w:rsid w:val="00A53D02"/>
    <w:rPr>
      <w:color w:val="605E5C"/>
      <w:shd w:val="clear" w:color="auto" w:fill="E1DFDD"/>
    </w:rPr>
  </w:style>
  <w:style w:type="paragraph" w:styleId="Testonotaapidipagina">
    <w:name w:val="footnote text"/>
    <w:basedOn w:val="Normale"/>
    <w:link w:val="TestonotaapidipaginaCarattere"/>
    <w:rsid w:val="002601B7"/>
    <w:pPr>
      <w:spacing w:line="240" w:lineRule="auto"/>
    </w:pPr>
    <w:rPr>
      <w:szCs w:val="20"/>
    </w:rPr>
  </w:style>
  <w:style w:type="character" w:customStyle="1" w:styleId="TestonotaapidipaginaCarattere">
    <w:name w:val="Testo nota a piè di pagina Carattere"/>
    <w:basedOn w:val="Carpredefinitoparagrafo"/>
    <w:link w:val="Testonotaapidipagina"/>
    <w:rsid w:val="002601B7"/>
  </w:style>
  <w:style w:type="character" w:styleId="Rimandonotaapidipagina">
    <w:name w:val="footnote reference"/>
    <w:basedOn w:val="Carpredefinitoparagrafo"/>
    <w:rsid w:val="00260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eo.arrigoni@unicatt.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na.vanuzzo@unicatt.i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5AD8-96A6-458E-AD45-1E95D211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609</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2021-05-24T09:43:00Z</cp:lastPrinted>
  <dcterms:created xsi:type="dcterms:W3CDTF">2023-05-15T06:43:00Z</dcterms:created>
  <dcterms:modified xsi:type="dcterms:W3CDTF">2023-06-23T12:36:00Z</dcterms:modified>
</cp:coreProperties>
</file>