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E65E" w14:textId="77777777" w:rsidR="002E5E2A" w:rsidRPr="000B4BEF" w:rsidRDefault="002E5E2A" w:rsidP="002E5E2A">
      <w:pPr>
        <w:tabs>
          <w:tab w:val="clear" w:pos="284"/>
        </w:tabs>
        <w:spacing w:before="480"/>
        <w:ind w:left="284" w:hanging="284"/>
        <w:jc w:val="left"/>
        <w:outlineLvl w:val="0"/>
        <w:rPr>
          <w:rFonts w:ascii="Times" w:hAnsi="Times"/>
          <w:b/>
          <w:szCs w:val="20"/>
          <w:lang w:val="en-GB"/>
        </w:rPr>
      </w:pPr>
      <w:r w:rsidRPr="000B4BEF">
        <w:rPr>
          <w:rFonts w:ascii="Times" w:hAnsi="Times"/>
          <w:b/>
          <w:szCs w:val="20"/>
          <w:lang w:val="en-GB"/>
        </w:rPr>
        <w:t xml:space="preserve">Economics for </w:t>
      </w:r>
      <w:r w:rsidR="00DB09C4">
        <w:rPr>
          <w:rFonts w:ascii="Times" w:hAnsi="Times"/>
          <w:b/>
          <w:szCs w:val="20"/>
          <w:lang w:val="en-GB"/>
        </w:rPr>
        <w:t>f</w:t>
      </w:r>
      <w:r w:rsidRPr="000B4BEF">
        <w:rPr>
          <w:rFonts w:ascii="Times" w:hAnsi="Times"/>
          <w:b/>
          <w:szCs w:val="20"/>
          <w:lang w:val="en-GB"/>
        </w:rPr>
        <w:t>inance</w:t>
      </w:r>
    </w:p>
    <w:p w14:paraId="6C1C6A21" w14:textId="77777777" w:rsidR="002E5E2A" w:rsidRDefault="002E5E2A" w:rsidP="002E5E2A">
      <w:pPr>
        <w:tabs>
          <w:tab w:val="clear" w:pos="284"/>
        </w:tabs>
        <w:outlineLvl w:val="1"/>
        <w:rPr>
          <w:rFonts w:ascii="Times" w:hAnsi="Times"/>
          <w:smallCaps/>
          <w:noProof/>
          <w:sz w:val="18"/>
          <w:szCs w:val="20"/>
          <w:lang w:val="en-GB"/>
        </w:rPr>
      </w:pPr>
      <w:r w:rsidRPr="000B4BEF">
        <w:rPr>
          <w:rFonts w:ascii="Times" w:hAnsi="Times"/>
          <w:smallCaps/>
          <w:noProof/>
          <w:sz w:val="18"/>
          <w:szCs w:val="20"/>
          <w:lang w:val="en-GB"/>
        </w:rPr>
        <w:t>Prof. Angelo Baglioni</w:t>
      </w:r>
    </w:p>
    <w:p w14:paraId="192066DB" w14:textId="77777777" w:rsidR="002E5E2A" w:rsidRPr="00514034" w:rsidRDefault="002E5E2A" w:rsidP="002E5E2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B16A492" w14:textId="77777777" w:rsidR="002E5E2A" w:rsidRDefault="002E5E2A" w:rsidP="002E5E2A">
      <w:pPr>
        <w:rPr>
          <w:rFonts w:eastAsia="MS Mincho"/>
          <w:lang w:val="en-GB"/>
        </w:rPr>
      </w:pPr>
      <w:r w:rsidRPr="000B4BEF">
        <w:rPr>
          <w:rFonts w:eastAsia="MS Mincho"/>
          <w:lang w:val="en-GB"/>
        </w:rPr>
        <w:t xml:space="preserve">The course is divided into two parts. The first part focuses on the microeconomic analysis of </w:t>
      </w:r>
      <w:r w:rsidR="002360A9">
        <w:rPr>
          <w:rFonts w:eastAsia="MS Mincho"/>
          <w:lang w:val="en-GB"/>
        </w:rPr>
        <w:t xml:space="preserve">insurance </w:t>
      </w:r>
      <w:r w:rsidRPr="000B4BEF">
        <w:rPr>
          <w:rFonts w:eastAsia="MS Mincho"/>
          <w:lang w:val="en-GB"/>
        </w:rPr>
        <w:t xml:space="preserve">markets and financial intermediaries. The approach is based on asymmetric information. Students learn how to analytically handle problems related to </w:t>
      </w:r>
      <w:r w:rsidRPr="000B4BEF">
        <w:rPr>
          <w:rFonts w:eastAsia="MS Mincho"/>
          <w:iCs/>
          <w:lang w:val="en-GB"/>
        </w:rPr>
        <w:t>moral hazard</w:t>
      </w:r>
      <w:r w:rsidRPr="000B4BEF">
        <w:rPr>
          <w:rFonts w:eastAsia="MS Mincho"/>
          <w:lang w:val="en-GB"/>
        </w:rPr>
        <w:t xml:space="preserve"> and adverse selection</w:t>
      </w:r>
      <w:r w:rsidR="00903B06">
        <w:rPr>
          <w:rFonts w:eastAsia="MS Mincho"/>
          <w:lang w:val="en-GB"/>
        </w:rPr>
        <w:t xml:space="preserve"> in</w:t>
      </w:r>
      <w:r w:rsidRPr="000B4BEF">
        <w:rPr>
          <w:rFonts w:eastAsia="MS Mincho"/>
          <w:lang w:val="en-GB"/>
        </w:rPr>
        <w:t xml:space="preserve"> credit and insurance markets. The second part of the course addresses monetary policy</w:t>
      </w:r>
      <w:r w:rsidR="003F346C">
        <w:rPr>
          <w:rFonts w:eastAsia="MS Mincho"/>
          <w:lang w:val="en-GB"/>
        </w:rPr>
        <w:t xml:space="preserve"> and its macroeconomic framework</w:t>
      </w:r>
      <w:r w:rsidRPr="000B4BEF">
        <w:rPr>
          <w:rFonts w:eastAsia="MS Mincho"/>
          <w:lang w:val="en-GB"/>
        </w:rPr>
        <w:t xml:space="preserve">, with a special focus on the implementation of that </w:t>
      </w:r>
      <w:r>
        <w:rPr>
          <w:rFonts w:eastAsia="MS Mincho"/>
          <w:lang w:val="en-GB"/>
        </w:rPr>
        <w:t>policy in the European context.</w:t>
      </w:r>
    </w:p>
    <w:p w14:paraId="7EB433AD" w14:textId="77777777" w:rsidR="002E5E2A" w:rsidRPr="001C2CF0" w:rsidRDefault="002E5E2A" w:rsidP="002E5E2A">
      <w:pPr>
        <w:ind w:firstLine="284"/>
        <w:rPr>
          <w:lang w:val="en-US"/>
        </w:rPr>
      </w:pPr>
      <w:r>
        <w:rPr>
          <w:lang w:val="en-US"/>
        </w:rPr>
        <w:t>At the end of the course, the student will be able</w:t>
      </w:r>
      <w:r w:rsidRPr="00E463A1">
        <w:rPr>
          <w:lang w:val="en-US"/>
        </w:rPr>
        <w:t xml:space="preserve"> to answer theoretical questions and to solve exercises </w:t>
      </w:r>
      <w:r>
        <w:rPr>
          <w:lang w:val="en-US"/>
        </w:rPr>
        <w:t>related to</w:t>
      </w:r>
      <w:r w:rsidR="00CA09F1">
        <w:rPr>
          <w:lang w:val="en-US"/>
        </w:rPr>
        <w:t>:</w:t>
      </w:r>
      <w:r>
        <w:rPr>
          <w:lang w:val="en-US"/>
        </w:rPr>
        <w:t xml:space="preserve"> insurance markets and </w:t>
      </w:r>
      <w:r w:rsidR="00CA09F1">
        <w:rPr>
          <w:lang w:val="en-US"/>
        </w:rPr>
        <w:t xml:space="preserve">microeconomics of </w:t>
      </w:r>
      <w:r>
        <w:rPr>
          <w:lang w:val="en-US"/>
        </w:rPr>
        <w:t>banking (focusing on credit risk and liquidity risk);</w:t>
      </w:r>
      <w:r w:rsidR="003F346C">
        <w:rPr>
          <w:lang w:val="en-US"/>
        </w:rPr>
        <w:t xml:space="preserve"> the macroeconomic framework of monetary policy; the strategic approach to monetary policy;</w:t>
      </w:r>
      <w:r>
        <w:rPr>
          <w:lang w:val="en-US"/>
        </w:rPr>
        <w:t xml:space="preserve"> the operational framework and the transmission channels of monetary policy. The student will also be able to answer questions focusing on the organization, strategy and operations of the European System of Central Banks. </w:t>
      </w:r>
    </w:p>
    <w:p w14:paraId="622F6E5B" w14:textId="77777777" w:rsidR="002E5E2A" w:rsidRPr="00514034" w:rsidRDefault="002E5E2A" w:rsidP="002E5E2A">
      <w:pPr>
        <w:spacing w:before="240" w:after="120"/>
        <w:rPr>
          <w:b/>
          <w:i/>
          <w:sz w:val="18"/>
          <w:lang w:val="en-US"/>
        </w:rPr>
      </w:pPr>
      <w:r w:rsidRPr="00514034">
        <w:rPr>
          <w:b/>
          <w:i/>
          <w:sz w:val="18"/>
          <w:lang w:val="en-US"/>
        </w:rPr>
        <w:t>COURSE CONTENT</w:t>
      </w:r>
    </w:p>
    <w:p w14:paraId="50A9724C" w14:textId="77777777" w:rsidR="002E5E2A" w:rsidRPr="00633B91" w:rsidRDefault="002E5E2A" w:rsidP="00633B91">
      <w:pPr>
        <w:tabs>
          <w:tab w:val="clear" w:pos="284"/>
        </w:tabs>
        <w:spacing w:before="120"/>
        <w:rPr>
          <w:rFonts w:eastAsia="MS Mincho"/>
          <w:smallCaps/>
          <w:sz w:val="18"/>
          <w:szCs w:val="18"/>
          <w:lang w:val="en-GB"/>
        </w:rPr>
      </w:pPr>
      <w:r w:rsidRPr="000B4BEF">
        <w:rPr>
          <w:rFonts w:eastAsia="MS Mincho"/>
          <w:smallCaps/>
          <w:sz w:val="18"/>
          <w:szCs w:val="18"/>
          <w:lang w:val="en-GB"/>
        </w:rPr>
        <w:t xml:space="preserve">Part I: </w:t>
      </w:r>
      <w:r w:rsidR="00633B91">
        <w:rPr>
          <w:rFonts w:eastAsia="MS Mincho"/>
          <w:smallCaps/>
          <w:sz w:val="18"/>
          <w:szCs w:val="18"/>
          <w:lang w:val="en-GB"/>
        </w:rPr>
        <w:t>Microeconomics of Insurance and banking</w:t>
      </w:r>
    </w:p>
    <w:p w14:paraId="0F92B444" w14:textId="77777777" w:rsidR="002E5E2A" w:rsidRPr="000B4BEF" w:rsidRDefault="002E5E2A" w:rsidP="002E5E2A">
      <w:pPr>
        <w:rPr>
          <w:rFonts w:eastAsia="MS Mincho"/>
          <w:lang w:val="en-GB"/>
        </w:rPr>
      </w:pPr>
      <w:r>
        <w:rPr>
          <w:rFonts w:eastAsia="MS Mincho"/>
          <w:lang w:val="en-GB"/>
        </w:rPr>
        <w:t>–</w:t>
      </w:r>
      <w:r>
        <w:rPr>
          <w:rFonts w:eastAsia="MS Mincho"/>
          <w:lang w:val="en-GB"/>
        </w:rPr>
        <w:tab/>
        <w:t>Demand for insurance and i</w:t>
      </w:r>
      <w:r w:rsidRPr="000B4BEF">
        <w:rPr>
          <w:rFonts w:eastAsia="MS Mincho"/>
          <w:lang w:val="en-GB"/>
        </w:rPr>
        <w:t>nsurance markets;</w:t>
      </w:r>
    </w:p>
    <w:p w14:paraId="0A1A4257" w14:textId="77777777" w:rsidR="002E5E2A" w:rsidRPr="000B4BEF" w:rsidRDefault="002E5E2A" w:rsidP="002E5E2A">
      <w:pPr>
        <w:rPr>
          <w:rFonts w:eastAsia="MS Mincho"/>
          <w:lang w:val="en-GB"/>
        </w:rPr>
      </w:pPr>
      <w:r>
        <w:rPr>
          <w:rFonts w:eastAsia="MS Mincho"/>
          <w:lang w:val="en-GB"/>
        </w:rPr>
        <w:t>–</w:t>
      </w:r>
      <w:r>
        <w:rPr>
          <w:rFonts w:eastAsia="MS Mincho"/>
          <w:lang w:val="en-GB"/>
        </w:rPr>
        <w:tab/>
      </w:r>
      <w:r w:rsidRPr="000B4BEF">
        <w:rPr>
          <w:rFonts w:eastAsia="MS Mincho"/>
          <w:lang w:val="en-GB"/>
        </w:rPr>
        <w:t xml:space="preserve">The lender-borrower relationship: </w:t>
      </w:r>
      <w:r w:rsidRPr="000B4BEF">
        <w:rPr>
          <w:rFonts w:eastAsia="MS Mincho"/>
          <w:iCs/>
          <w:lang w:val="en-GB"/>
        </w:rPr>
        <w:t>risk-taking incentives</w:t>
      </w:r>
      <w:r w:rsidRPr="000B4BEF">
        <w:rPr>
          <w:rFonts w:eastAsia="MS Mincho"/>
          <w:lang w:val="en-GB"/>
        </w:rPr>
        <w:t xml:space="preserve">; </w:t>
      </w:r>
    </w:p>
    <w:p w14:paraId="2C6FA879" w14:textId="77777777" w:rsidR="002E5E2A" w:rsidRPr="000B4BEF" w:rsidRDefault="002E5E2A" w:rsidP="002E5E2A">
      <w:pPr>
        <w:rPr>
          <w:rFonts w:eastAsia="MS Mincho"/>
          <w:lang w:val="en-GB"/>
        </w:rPr>
      </w:pPr>
      <w:r w:rsidRPr="000B4BEF">
        <w:rPr>
          <w:rFonts w:eastAsia="MS Mincho"/>
          <w:lang w:val="en-GB"/>
        </w:rPr>
        <w:t>–</w:t>
      </w:r>
      <w:r>
        <w:rPr>
          <w:rFonts w:eastAsia="MS Mincho"/>
          <w:lang w:val="en-GB"/>
        </w:rPr>
        <w:tab/>
      </w:r>
      <w:r w:rsidRPr="000B4BEF">
        <w:rPr>
          <w:rFonts w:eastAsia="MS Mincho"/>
          <w:lang w:val="en-GB"/>
        </w:rPr>
        <w:t xml:space="preserve">Financial intermediation: </w:t>
      </w:r>
    </w:p>
    <w:p w14:paraId="529EEB85" w14:textId="77777777" w:rsidR="002E5E2A" w:rsidRPr="000B4BEF" w:rsidRDefault="002E5E2A" w:rsidP="002E5E2A">
      <w:pPr>
        <w:tabs>
          <w:tab w:val="clear" w:pos="284"/>
          <w:tab w:val="left" w:pos="426"/>
        </w:tabs>
        <w:ind w:left="284"/>
        <w:rPr>
          <w:rFonts w:eastAsia="MS Mincho"/>
          <w:lang w:val="en-GB"/>
        </w:rPr>
      </w:pPr>
      <w:r w:rsidRPr="000B4BEF">
        <w:rPr>
          <w:rFonts w:eastAsia="MS Mincho"/>
          <w:lang w:val="en-GB"/>
        </w:rPr>
        <w:tab/>
        <w:t xml:space="preserve">credit risk and rationing – the role of collateral; </w:t>
      </w:r>
    </w:p>
    <w:p w14:paraId="35BE24AF" w14:textId="77777777" w:rsidR="002E5E2A" w:rsidRPr="000B4BEF" w:rsidRDefault="002E5E2A" w:rsidP="002E5E2A">
      <w:pPr>
        <w:tabs>
          <w:tab w:val="clear" w:pos="284"/>
          <w:tab w:val="left" w:pos="426"/>
        </w:tabs>
        <w:ind w:left="284"/>
        <w:rPr>
          <w:rFonts w:eastAsia="MS Mincho"/>
          <w:lang w:val="en-GB"/>
        </w:rPr>
      </w:pPr>
      <w:r w:rsidRPr="000B4BEF">
        <w:rPr>
          <w:rFonts w:eastAsia="MS Mincho"/>
          <w:lang w:val="en-GB"/>
        </w:rPr>
        <w:tab/>
        <w:t>liquidity risk, deposit insurance and lender of last resort.</w:t>
      </w:r>
    </w:p>
    <w:p w14:paraId="5A921F78" w14:textId="77777777" w:rsidR="00633B91" w:rsidRPr="00633B91" w:rsidRDefault="002E5E2A" w:rsidP="00633B91">
      <w:pPr>
        <w:tabs>
          <w:tab w:val="clear" w:pos="284"/>
        </w:tabs>
        <w:spacing w:before="120"/>
        <w:ind w:left="284" w:hanging="284"/>
        <w:rPr>
          <w:rFonts w:eastAsia="MS Mincho"/>
          <w:smallCaps/>
          <w:sz w:val="18"/>
          <w:szCs w:val="18"/>
          <w:lang w:val="en-GB"/>
        </w:rPr>
      </w:pPr>
      <w:r w:rsidRPr="000B4BEF">
        <w:rPr>
          <w:rFonts w:eastAsia="MS Mincho"/>
          <w:smallCaps/>
          <w:sz w:val="18"/>
          <w:szCs w:val="18"/>
          <w:lang w:val="en-GB"/>
        </w:rPr>
        <w:t xml:space="preserve">Part II: </w:t>
      </w:r>
      <w:r w:rsidR="00633B91">
        <w:rPr>
          <w:rFonts w:eastAsia="MS Mincho"/>
          <w:smallCaps/>
          <w:sz w:val="18"/>
          <w:szCs w:val="18"/>
          <w:lang w:val="en-GB"/>
        </w:rPr>
        <w:t xml:space="preserve">Macroeconomics and </w:t>
      </w:r>
      <w:r w:rsidR="00633B91" w:rsidRPr="00633B91">
        <w:rPr>
          <w:rFonts w:eastAsia="MS Mincho"/>
          <w:smallCaps/>
          <w:sz w:val="18"/>
          <w:szCs w:val="18"/>
          <w:lang w:val="en-GB"/>
        </w:rPr>
        <w:t>Monetary Policy</w:t>
      </w:r>
    </w:p>
    <w:p w14:paraId="32CE2CE4" w14:textId="77777777" w:rsidR="00633B91" w:rsidRPr="00D9063E" w:rsidRDefault="00633B91" w:rsidP="00D9063E">
      <w:pPr>
        <w:numPr>
          <w:ilvl w:val="0"/>
          <w:numId w:val="1"/>
        </w:numPr>
        <w:tabs>
          <w:tab w:val="clear" w:pos="284"/>
        </w:tabs>
        <w:ind w:left="284" w:hanging="284"/>
        <w:rPr>
          <w:rFonts w:eastAsia="MS Mincho"/>
          <w:lang w:val="en-GB"/>
        </w:rPr>
      </w:pPr>
      <w:r>
        <w:rPr>
          <w:rFonts w:eastAsia="MS Mincho"/>
          <w:lang w:val="en-GB"/>
        </w:rPr>
        <w:t>The macroeconomic framework of monetary policy: the IS-MP-AD-AS model</w:t>
      </w:r>
    </w:p>
    <w:p w14:paraId="2A9CE8B1" w14:textId="77777777" w:rsidR="00633B91" w:rsidRDefault="00633B91" w:rsidP="002E5E2A">
      <w:pPr>
        <w:numPr>
          <w:ilvl w:val="0"/>
          <w:numId w:val="1"/>
        </w:numPr>
        <w:tabs>
          <w:tab w:val="clear" w:pos="284"/>
        </w:tabs>
        <w:ind w:left="284" w:hanging="284"/>
        <w:rPr>
          <w:rFonts w:eastAsia="MS Mincho"/>
          <w:lang w:val="en-GB"/>
        </w:rPr>
      </w:pPr>
      <w:r>
        <w:rPr>
          <w:rFonts w:eastAsia="MS Mincho"/>
          <w:lang w:val="en-GB"/>
        </w:rPr>
        <w:t>The strategic approach to monetary policy: rules, discretion,</w:t>
      </w:r>
      <w:r w:rsidR="002360A9">
        <w:rPr>
          <w:rFonts w:eastAsia="MS Mincho"/>
          <w:lang w:val="en-GB"/>
        </w:rPr>
        <w:t xml:space="preserve"> </w:t>
      </w:r>
      <w:r w:rsidR="00386E59">
        <w:rPr>
          <w:rFonts w:eastAsia="MS Mincho"/>
          <w:lang w:val="en-GB"/>
        </w:rPr>
        <w:t>and</w:t>
      </w:r>
      <w:r>
        <w:rPr>
          <w:rFonts w:eastAsia="MS Mincho"/>
          <w:lang w:val="en-GB"/>
        </w:rPr>
        <w:t xml:space="preserve"> reputation</w:t>
      </w:r>
    </w:p>
    <w:p w14:paraId="60979B2D"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The European System of Central Banks</w:t>
      </w:r>
      <w:r>
        <w:rPr>
          <w:rFonts w:eastAsia="MS Mincho"/>
          <w:lang w:val="en-GB"/>
        </w:rPr>
        <w:t>: organization and strategy</w:t>
      </w:r>
      <w:r w:rsidRPr="000B4BEF">
        <w:rPr>
          <w:rFonts w:eastAsia="MS Mincho"/>
          <w:lang w:val="en-GB"/>
        </w:rPr>
        <w:t xml:space="preserve"> </w:t>
      </w:r>
    </w:p>
    <w:p w14:paraId="3328F520"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The operational framework of monetary policy</w:t>
      </w:r>
    </w:p>
    <w:p w14:paraId="4550960E"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 xml:space="preserve">The transmission channels </w:t>
      </w:r>
      <w:r w:rsidR="00633B91">
        <w:rPr>
          <w:rFonts w:eastAsia="MS Mincho"/>
          <w:lang w:val="en-GB"/>
        </w:rPr>
        <w:t>of monetary policy</w:t>
      </w:r>
    </w:p>
    <w:p w14:paraId="3F99713A"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 xml:space="preserve">The non-standard monetary policy measures and quantitative easing </w:t>
      </w:r>
    </w:p>
    <w:p w14:paraId="7C998540" w14:textId="77777777" w:rsidR="002E5E2A" w:rsidRPr="00514034" w:rsidRDefault="002E5E2A" w:rsidP="002E5E2A">
      <w:pPr>
        <w:spacing w:before="240" w:after="120"/>
        <w:rPr>
          <w:b/>
          <w:i/>
          <w:sz w:val="18"/>
          <w:lang w:val="en-US"/>
        </w:rPr>
      </w:pPr>
      <w:r w:rsidRPr="00514034">
        <w:rPr>
          <w:b/>
          <w:i/>
          <w:sz w:val="18"/>
          <w:lang w:val="en-US"/>
        </w:rPr>
        <w:t>READING LIST</w:t>
      </w:r>
    </w:p>
    <w:p w14:paraId="2899D785" w14:textId="77777777" w:rsidR="005547ED" w:rsidRPr="005547ED" w:rsidRDefault="002E5E2A" w:rsidP="005547ED">
      <w:pPr>
        <w:pStyle w:val="Testo2"/>
        <w:spacing w:line="240" w:lineRule="atLeast"/>
        <w:ind w:firstLine="0"/>
        <w:rPr>
          <w:i/>
          <w:spacing w:val="-5"/>
          <w:lang w:val="en-US"/>
        </w:rPr>
      </w:pPr>
      <w:r w:rsidRPr="002E5E2A">
        <w:rPr>
          <w:i/>
          <w:spacing w:val="-5"/>
          <w:lang w:val="en-US"/>
        </w:rPr>
        <w:t>Slides</w:t>
      </w:r>
      <w:r w:rsidR="005547ED">
        <w:rPr>
          <w:i/>
          <w:spacing w:val="-5"/>
          <w:lang w:val="en-US"/>
        </w:rPr>
        <w:t xml:space="preserve"> and reading material</w:t>
      </w:r>
      <w:r w:rsidRPr="002E5E2A">
        <w:rPr>
          <w:i/>
          <w:spacing w:val="-5"/>
          <w:lang w:val="en-US"/>
        </w:rPr>
        <w:t xml:space="preserve"> available in blackboard</w:t>
      </w:r>
      <w:r w:rsidR="005547ED">
        <w:rPr>
          <w:i/>
          <w:spacing w:val="-5"/>
          <w:lang w:val="en-US"/>
        </w:rPr>
        <w:t xml:space="preserve">.  ECB website: </w:t>
      </w:r>
      <w:hyperlink r:id="rId9" w:history="1">
        <w:r w:rsidR="00DD5EFD" w:rsidRPr="00965C0F">
          <w:rPr>
            <w:rStyle w:val="Collegamentoipertestuale"/>
            <w:szCs w:val="18"/>
            <w:lang w:val="en-US"/>
          </w:rPr>
          <w:t>www.ecb.europa.eu</w:t>
        </w:r>
      </w:hyperlink>
      <w:r w:rsidR="005547ED" w:rsidRPr="00965C0F">
        <w:rPr>
          <w:sz w:val="24"/>
          <w:lang w:val="en-US"/>
        </w:rPr>
        <w:t xml:space="preserve">  </w:t>
      </w:r>
    </w:p>
    <w:p w14:paraId="2FAF1889" w14:textId="77777777" w:rsidR="002E5E2A" w:rsidRPr="00514034" w:rsidRDefault="002E5E2A" w:rsidP="002E5E2A">
      <w:pPr>
        <w:spacing w:before="240" w:after="120" w:line="220" w:lineRule="exact"/>
        <w:rPr>
          <w:b/>
          <w:i/>
          <w:sz w:val="18"/>
          <w:lang w:val="en-US"/>
        </w:rPr>
      </w:pPr>
      <w:r w:rsidRPr="00514034">
        <w:rPr>
          <w:b/>
          <w:i/>
          <w:sz w:val="18"/>
          <w:lang w:val="en-US"/>
        </w:rPr>
        <w:lastRenderedPageBreak/>
        <w:t>TEACHING METHOD</w:t>
      </w:r>
    </w:p>
    <w:p w14:paraId="6B4D01EE" w14:textId="77777777" w:rsidR="002E5E2A" w:rsidRDefault="002E5E2A" w:rsidP="002E5E2A">
      <w:pPr>
        <w:pStyle w:val="Testo2"/>
        <w:rPr>
          <w:lang w:val="en-US"/>
        </w:rPr>
      </w:pPr>
      <w:r w:rsidRPr="001C2CF0">
        <w:rPr>
          <w:lang w:val="en-US"/>
        </w:rPr>
        <w:t>Lessons and exercises solved together with the teacher in classrooms.</w:t>
      </w:r>
    </w:p>
    <w:p w14:paraId="044FF037" w14:textId="77777777" w:rsidR="002E5E2A" w:rsidRPr="001C2CF0" w:rsidRDefault="002E5E2A" w:rsidP="002E5E2A">
      <w:pPr>
        <w:pStyle w:val="Testo2"/>
        <w:rPr>
          <w:lang w:val="en-US"/>
        </w:rPr>
      </w:pPr>
      <w:r>
        <w:rPr>
          <w:lang w:val="en-US"/>
        </w:rPr>
        <w:t>The exposition of all topics is made with the support of slides, which are made available to students in Blackboard.</w:t>
      </w:r>
    </w:p>
    <w:p w14:paraId="09BF1F10" w14:textId="77777777" w:rsidR="002E5E2A" w:rsidRPr="00906645" w:rsidRDefault="002E5E2A" w:rsidP="002E5E2A">
      <w:pPr>
        <w:spacing w:before="240" w:after="120" w:line="220" w:lineRule="exact"/>
        <w:rPr>
          <w:b/>
          <w:i/>
          <w:sz w:val="18"/>
          <w:lang w:val="en-US"/>
        </w:rPr>
      </w:pPr>
      <w:r w:rsidRPr="00906645">
        <w:rPr>
          <w:b/>
          <w:i/>
          <w:sz w:val="18"/>
          <w:lang w:val="en-US"/>
        </w:rPr>
        <w:t>ASSESSMENT METHOD AND CRITERIA</w:t>
      </w:r>
    </w:p>
    <w:p w14:paraId="04175B51" w14:textId="77777777" w:rsidR="002E5E2A" w:rsidRPr="006F45AD" w:rsidRDefault="002E5E2A" w:rsidP="002E5E2A">
      <w:pPr>
        <w:pStyle w:val="Testo2"/>
        <w:rPr>
          <w:lang w:val="en-US"/>
        </w:rPr>
      </w:pPr>
      <w:r w:rsidRPr="00D210EB">
        <w:rPr>
          <w:lang w:val="en-US"/>
        </w:rPr>
        <w:t xml:space="preserve">Written examinations, testing the ability of students to solve simple </w:t>
      </w:r>
      <w:r>
        <w:rPr>
          <w:lang w:val="en-US"/>
        </w:rPr>
        <w:t>exercises focusing on the models studied during the course. The written examinations can also include questions related to both the theoretical and the institutional topics addressed in the course.</w:t>
      </w:r>
    </w:p>
    <w:p w14:paraId="0F16F63D" w14:textId="77777777" w:rsidR="002E5E2A" w:rsidRPr="00514034" w:rsidRDefault="002E5E2A" w:rsidP="002E5E2A">
      <w:pPr>
        <w:spacing w:before="240" w:after="120"/>
        <w:rPr>
          <w:b/>
          <w:i/>
          <w:sz w:val="18"/>
          <w:lang w:val="en-US"/>
        </w:rPr>
      </w:pPr>
      <w:r w:rsidRPr="00514034">
        <w:rPr>
          <w:b/>
          <w:i/>
          <w:sz w:val="18"/>
          <w:lang w:val="en-US"/>
        </w:rPr>
        <w:t>NOTES AND PREREQUISITES</w:t>
      </w:r>
    </w:p>
    <w:p w14:paraId="7EF14465" w14:textId="77777777" w:rsidR="002E5E2A" w:rsidRDefault="002E5E2A" w:rsidP="002E5E2A">
      <w:pPr>
        <w:pStyle w:val="Testo2"/>
        <w:rPr>
          <w:rFonts w:eastAsia="MS Mincho"/>
          <w:lang w:val="en-GB"/>
        </w:rPr>
      </w:pPr>
      <w:r w:rsidRPr="000B4BEF">
        <w:rPr>
          <w:rFonts w:eastAsia="MS Mincho"/>
          <w:lang w:val="en-GB"/>
        </w:rPr>
        <w:t>For the first part of the course, students are expected to be familiar with the standard analytical tools covered in the three-year microeconomics course. Particularly relevant are: the theory of individual choice under uncertainty (expected utility, risk aversion) and in a strategic context (Nash equilibrium); the theory of market structure under conditions of perfect competition and monopoly. For the second part of the course, students are expected to be familiar with the standard issues covered in the three-year course of macroeconomics. Particularly relevant are: the IS-LM</w:t>
      </w:r>
      <w:r>
        <w:rPr>
          <w:rFonts w:eastAsia="MS Mincho"/>
          <w:lang w:val="en-GB"/>
        </w:rPr>
        <w:t xml:space="preserve"> and AD-AS</w:t>
      </w:r>
      <w:r w:rsidRPr="000B4BEF">
        <w:rPr>
          <w:rFonts w:eastAsia="MS Mincho"/>
          <w:lang w:val="en-GB"/>
        </w:rPr>
        <w:t xml:space="preserve"> model</w:t>
      </w:r>
      <w:r>
        <w:rPr>
          <w:rFonts w:eastAsia="MS Mincho"/>
          <w:lang w:val="en-GB"/>
        </w:rPr>
        <w:t>s.</w:t>
      </w:r>
    </w:p>
    <w:p w14:paraId="25C1D35B" w14:textId="77777777" w:rsidR="002E5E2A" w:rsidRDefault="002E5E2A" w:rsidP="000B0DE6">
      <w:pPr>
        <w:pStyle w:val="Testo2"/>
        <w:spacing w:before="120"/>
        <w:rPr>
          <w:lang w:val="en-US"/>
        </w:rPr>
      </w:pPr>
      <w:r w:rsidRPr="00915D23">
        <w:rPr>
          <w:i/>
          <w:lang w:val="en-US"/>
        </w:rPr>
        <w:t>Office hours</w:t>
      </w:r>
    </w:p>
    <w:p w14:paraId="17D61DAE" w14:textId="77777777" w:rsidR="002E5E2A" w:rsidRDefault="002E5E2A" w:rsidP="002E5E2A">
      <w:pPr>
        <w:pStyle w:val="Testo2"/>
        <w:rPr>
          <w:lang w:val="en-US"/>
        </w:rPr>
      </w:pPr>
      <w:r>
        <w:rPr>
          <w:lang w:val="en-US"/>
        </w:rPr>
        <w:t>Wednesday, starting at 2</w:t>
      </w:r>
      <w:r w:rsidRPr="000A54E9">
        <w:rPr>
          <w:lang w:val="en-US"/>
        </w:rPr>
        <w:t xml:space="preserve"> p.m. (via Necchi 5, room 103).</w:t>
      </w:r>
    </w:p>
    <w:p w14:paraId="0C3D6AF7" w14:textId="77777777" w:rsidR="00900D7F" w:rsidRPr="002E5E2A" w:rsidRDefault="00900D7F" w:rsidP="002E5E2A">
      <w:pPr>
        <w:pStyle w:val="Testo2"/>
        <w:rPr>
          <w:lang w:val="en-US"/>
        </w:rPr>
      </w:pPr>
    </w:p>
    <w:sectPr w:rsidR="00900D7F" w:rsidRPr="002E5E2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50D"/>
    <w:multiLevelType w:val="hybridMultilevel"/>
    <w:tmpl w:val="C366A74A"/>
    <w:lvl w:ilvl="0" w:tplc="601CA31C">
      <w:numFmt w:val="bullet"/>
      <w:lvlText w:val="–"/>
      <w:lvlJc w:val="left"/>
      <w:pPr>
        <w:ind w:left="1080" w:hanging="360"/>
      </w:pPr>
      <w:rPr>
        <w:rFonts w:ascii="Times New Roman" w:eastAsia="MS Mincho" w:hAnsi="Times New Roman" w:cs="Times New Roman" w:hint="default"/>
        <w:lang w:val="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9114F7F"/>
    <w:multiLevelType w:val="hybridMultilevel"/>
    <w:tmpl w:val="F394FB46"/>
    <w:lvl w:ilvl="0" w:tplc="957C20A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E54397"/>
    <w:multiLevelType w:val="hybridMultilevel"/>
    <w:tmpl w:val="253CB446"/>
    <w:lvl w:ilvl="0" w:tplc="95CE880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9191602">
    <w:abstractNumId w:val="0"/>
  </w:num>
  <w:num w:numId="2" w16cid:durableId="1337154462">
    <w:abstractNumId w:val="2"/>
  </w:num>
  <w:num w:numId="3" w16cid:durableId="116910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F9"/>
    <w:rsid w:val="000B0DE6"/>
    <w:rsid w:val="00110BEE"/>
    <w:rsid w:val="00124C91"/>
    <w:rsid w:val="00187B99"/>
    <w:rsid w:val="002014DD"/>
    <w:rsid w:val="00224D97"/>
    <w:rsid w:val="00225578"/>
    <w:rsid w:val="002360A9"/>
    <w:rsid w:val="002D5E17"/>
    <w:rsid w:val="002E5E2A"/>
    <w:rsid w:val="00325149"/>
    <w:rsid w:val="00386E59"/>
    <w:rsid w:val="003C663A"/>
    <w:rsid w:val="003F346C"/>
    <w:rsid w:val="00456752"/>
    <w:rsid w:val="004D1217"/>
    <w:rsid w:val="004D6008"/>
    <w:rsid w:val="005547ED"/>
    <w:rsid w:val="00633B91"/>
    <w:rsid w:val="00640794"/>
    <w:rsid w:val="006F1772"/>
    <w:rsid w:val="007E46EA"/>
    <w:rsid w:val="00842BFD"/>
    <w:rsid w:val="008942E7"/>
    <w:rsid w:val="008A1204"/>
    <w:rsid w:val="00900CCA"/>
    <w:rsid w:val="00900D7F"/>
    <w:rsid w:val="00903B06"/>
    <w:rsid w:val="00924B77"/>
    <w:rsid w:val="00940DA2"/>
    <w:rsid w:val="00965C0F"/>
    <w:rsid w:val="009E055C"/>
    <w:rsid w:val="00A672B1"/>
    <w:rsid w:val="00A74F6F"/>
    <w:rsid w:val="00AB7D07"/>
    <w:rsid w:val="00AD7557"/>
    <w:rsid w:val="00B50C5D"/>
    <w:rsid w:val="00B51253"/>
    <w:rsid w:val="00B525CC"/>
    <w:rsid w:val="00C444F9"/>
    <w:rsid w:val="00CA09F1"/>
    <w:rsid w:val="00D404F2"/>
    <w:rsid w:val="00D9063E"/>
    <w:rsid w:val="00DB09C4"/>
    <w:rsid w:val="00DD5EFD"/>
    <w:rsid w:val="00E607E6"/>
    <w:rsid w:val="00F56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BB34"/>
  <w15:chartTrackingRefBased/>
  <w15:docId w15:val="{632D8D28-66E1-4D16-9B33-AF3CE222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5E2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3B91"/>
    <w:pPr>
      <w:ind w:left="720"/>
      <w:contextualSpacing/>
    </w:pPr>
  </w:style>
  <w:style w:type="character" w:styleId="Collegamentoipertestuale">
    <w:name w:val="Hyperlink"/>
    <w:basedOn w:val="Carpredefinitoparagrafo"/>
    <w:unhideWhenUsed/>
    <w:rsid w:val="005547ED"/>
    <w:rPr>
      <w:color w:val="0563C1" w:themeColor="hyperlink"/>
      <w:u w:val="single"/>
    </w:rPr>
  </w:style>
  <w:style w:type="character" w:styleId="Menzionenonrisolta">
    <w:name w:val="Unresolved Mention"/>
    <w:basedOn w:val="Carpredefinitoparagrafo"/>
    <w:uiPriority w:val="99"/>
    <w:semiHidden/>
    <w:unhideWhenUsed/>
    <w:rsid w:val="0055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cb.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ECD928D24CC704C9FB0BE5CBF917B23" ma:contentTypeVersion="14" ma:contentTypeDescription="Creare un nuovo documento." ma:contentTypeScope="" ma:versionID="727805017819f6e46196af111e38a4b6">
  <xsd:schema xmlns:xsd="http://www.w3.org/2001/XMLSchema" xmlns:xs="http://www.w3.org/2001/XMLSchema" xmlns:p="http://schemas.microsoft.com/office/2006/metadata/properties" xmlns:ns3="ea8906fe-1488-4829-b76e-66985d29df24" xmlns:ns4="71844c9c-863a-429c-b1e1-a7a8799ea75b" targetNamespace="http://schemas.microsoft.com/office/2006/metadata/properties" ma:root="true" ma:fieldsID="66c0db325a011eecf1dca3038ce5b120" ns3:_="" ns4:_="">
    <xsd:import namespace="ea8906fe-1488-4829-b76e-66985d29df24"/>
    <xsd:import namespace="71844c9c-863a-429c-b1e1-a7a8799ea7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06fe-1488-4829-b76e-66985d29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44c9c-863a-429c-b1e1-a7a8799ea75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F2FE9-2A0B-46CE-8A97-289D58B2862A}">
  <ds:schemaRefs>
    <ds:schemaRef ds:uri="http://schemas.openxmlformats.org/officeDocument/2006/bibliography"/>
  </ds:schemaRefs>
</ds:datastoreItem>
</file>

<file path=customXml/itemProps2.xml><?xml version="1.0" encoding="utf-8"?>
<ds:datastoreItem xmlns:ds="http://schemas.openxmlformats.org/officeDocument/2006/customXml" ds:itemID="{953F409B-ABD0-4985-8C7B-8DBEF9F1170D}">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1844c9c-863a-429c-b1e1-a7a8799ea75b"/>
    <ds:schemaRef ds:uri="ea8906fe-1488-4829-b76e-66985d29df24"/>
  </ds:schemaRefs>
</ds:datastoreItem>
</file>

<file path=customXml/itemProps3.xml><?xml version="1.0" encoding="utf-8"?>
<ds:datastoreItem xmlns:ds="http://schemas.openxmlformats.org/officeDocument/2006/customXml" ds:itemID="{5A1BF372-472A-4734-83A0-56BDAB670881}">
  <ds:schemaRefs>
    <ds:schemaRef ds:uri="http://schemas.microsoft.com/sharepoint/v3/contenttype/forms"/>
  </ds:schemaRefs>
</ds:datastoreItem>
</file>

<file path=customXml/itemProps4.xml><?xml version="1.0" encoding="utf-8"?>
<ds:datastoreItem xmlns:ds="http://schemas.openxmlformats.org/officeDocument/2006/customXml" ds:itemID="{7A47555F-FE77-4605-8A0F-7F92A14E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06fe-1488-4829-b76e-66985d29df24"/>
    <ds:schemaRef ds:uri="71844c9c-863a-429c-b1e1-a7a8799ea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449</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2023-05-11T11:04:00Z</dcterms:created>
  <dcterms:modified xsi:type="dcterms:W3CDTF">2023-05-11T11:05:00Z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0x0101004ECD928D24CC704C9FB0BE5CBF917B23</vt:lpwstr>
  </property>
</Properties>
</file>