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BA4A" w14:textId="77777777" w:rsidR="00316DCB" w:rsidRPr="008C2326" w:rsidRDefault="00D635DE" w:rsidP="00316DCB">
      <w:pPr>
        <w:pStyle w:val="Titolo1"/>
        <w:ind w:left="0" w:firstLine="0"/>
      </w:pPr>
      <w:r w:rsidRPr="00A47CF0">
        <w:t xml:space="preserve">Informativa finanziaria e principi contabili internazionali </w:t>
      </w:r>
      <w:r w:rsidR="00316DCB" w:rsidRPr="008C2326">
        <w:t>(profilo Gestione delle banche e delle assicurazioni)</w:t>
      </w:r>
    </w:p>
    <w:p w14:paraId="7FF08471" w14:textId="77777777" w:rsidR="00316DCB" w:rsidRDefault="00316DCB" w:rsidP="00316DCB">
      <w:pPr>
        <w:pStyle w:val="Titolo2"/>
      </w:pPr>
      <w:r w:rsidRPr="00A47CF0">
        <w:t xml:space="preserve">Prof. </w:t>
      </w:r>
      <w:r>
        <w:t>Gabriele Villa</w:t>
      </w:r>
    </w:p>
    <w:p w14:paraId="7A4CC39C" w14:textId="4915E1E7" w:rsidR="002D5E17" w:rsidRDefault="00D635DE" w:rsidP="00316DCB">
      <w:pPr>
        <w:pStyle w:val="Titolo1"/>
        <w:ind w:left="0" w:firstLine="0"/>
        <w:rPr>
          <w:b w:val="0"/>
          <w:sz w:val="18"/>
        </w:rPr>
      </w:pPr>
      <w:r>
        <w:rPr>
          <w:i/>
          <w:sz w:val="18"/>
        </w:rPr>
        <w:t>OBIETTIVO DEL CORSO E RISULTATI DI APPRENDIMENTO ATTESI</w:t>
      </w:r>
    </w:p>
    <w:p w14:paraId="6DF94030" w14:textId="77777777" w:rsidR="00D635DE" w:rsidRPr="00EA0BB9" w:rsidRDefault="00D635DE" w:rsidP="00301998">
      <w:pPr>
        <w:spacing w:line="240" w:lineRule="exact"/>
        <w:rPr>
          <w:rFonts w:eastAsia="Calibri"/>
          <w:lang w:eastAsia="en-US"/>
        </w:rPr>
      </w:pPr>
      <w:r w:rsidRPr="00EA0BB9">
        <w:rPr>
          <w:rFonts w:eastAsia="Calibri"/>
          <w:lang w:eastAsia="en-US"/>
        </w:rPr>
        <w:t xml:space="preserve">Il corso si propone di completare il percorso didattico in tema di informazione contabile mediante l’analisi dei più rilevanti profili </w:t>
      </w:r>
      <w:r w:rsidR="002A2FC5">
        <w:rPr>
          <w:rFonts w:eastAsia="Calibri"/>
          <w:lang w:eastAsia="en-US"/>
        </w:rPr>
        <w:t xml:space="preserve">informativi </w:t>
      </w:r>
      <w:r w:rsidRPr="00EA0BB9">
        <w:rPr>
          <w:rFonts w:eastAsia="Calibri"/>
          <w:lang w:eastAsia="en-US"/>
        </w:rPr>
        <w:t>che caratterizzano la disciplina dei bilanci secondo i principi contabili internazionali IAS/IFRS.</w:t>
      </w:r>
    </w:p>
    <w:p w14:paraId="0E206FD8" w14:textId="5B1A97F2" w:rsidR="00D635DE" w:rsidRPr="00EA0BB9" w:rsidRDefault="00D635DE" w:rsidP="00301998">
      <w:pPr>
        <w:spacing w:line="240" w:lineRule="exact"/>
        <w:rPr>
          <w:rFonts w:eastAsia="Calibri"/>
          <w:lang w:eastAsia="en-US"/>
        </w:rPr>
      </w:pPr>
      <w:r w:rsidRPr="00EA0BB9">
        <w:rPr>
          <w:rFonts w:eastAsia="Calibri"/>
          <w:lang w:eastAsia="en-US"/>
        </w:rPr>
        <w:t>Il programma prevede, nella prima parte, un</w:t>
      </w:r>
      <w:r w:rsidR="00942221">
        <w:rPr>
          <w:rFonts w:eastAsia="Calibri"/>
          <w:lang w:eastAsia="en-US"/>
        </w:rPr>
        <w:t xml:space="preserve">a sintesi dei fondamenti del bilancio IAS/IFRS. Successivamente, il corso esamina i </w:t>
      </w:r>
      <w:r w:rsidRPr="00EA0BB9">
        <w:rPr>
          <w:rFonts w:eastAsia="Calibri"/>
          <w:lang w:eastAsia="en-US"/>
        </w:rPr>
        <w:t>principali aspetti tecnico-valutativi attinenti la predisposizione del bilancio consolidato IAS/IFRS: la definizione dell’area di consolidamento, le metodologie e le procedure di consolidamento, la rappresentazione contabile delle partecipazioni.</w:t>
      </w:r>
      <w:r w:rsidR="0086114B" w:rsidRPr="0086114B">
        <w:rPr>
          <w:rFonts w:eastAsia="Calibri"/>
          <w:lang w:eastAsia="en-US"/>
        </w:rPr>
        <w:t xml:space="preserve"> </w:t>
      </w:r>
      <w:r w:rsidR="0086114B">
        <w:rPr>
          <w:rFonts w:eastAsia="Calibri"/>
          <w:lang w:eastAsia="en-US"/>
        </w:rPr>
        <w:t>Il corso si sofferma, per il tramite di alcuni casi aziendali, anche sul processo di lettura e di interpretazione del bilancio consolidato in via strumentale a qualificare le condizioni di salute del gruppo e dei suoi segmenti di attività.</w:t>
      </w:r>
    </w:p>
    <w:p w14:paraId="0D6F756F" w14:textId="0D0091F1" w:rsidR="00942221" w:rsidRDefault="00942221" w:rsidP="00301998">
      <w:pPr>
        <w:spacing w:line="240" w:lineRule="exac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Poi, il corso approfondisce </w:t>
      </w:r>
      <w:r w:rsidR="00D635DE" w:rsidRPr="00EA0BB9">
        <w:rPr>
          <w:rFonts w:eastAsia="Calibri"/>
          <w:lang w:eastAsia="en-US"/>
        </w:rPr>
        <w:t xml:space="preserve">alcuni temi avanzati propri dell’informativa finanziaria (le scelte sottese alla rappresentazione delle operazioni di M&amp;A, la logica del </w:t>
      </w:r>
      <w:r w:rsidR="00D635DE" w:rsidRPr="00EA0BB9">
        <w:rPr>
          <w:rFonts w:eastAsia="Calibri"/>
          <w:i/>
          <w:lang w:eastAsia="en-US"/>
        </w:rPr>
        <w:t>test</w:t>
      </w:r>
      <w:r w:rsidR="00D635DE" w:rsidRPr="00EA0BB9">
        <w:rPr>
          <w:rFonts w:eastAsia="Calibri"/>
          <w:lang w:eastAsia="en-US"/>
        </w:rPr>
        <w:t xml:space="preserve"> di </w:t>
      </w:r>
      <w:r w:rsidR="00D635DE" w:rsidRPr="00EA0BB9">
        <w:rPr>
          <w:rFonts w:eastAsia="Calibri"/>
          <w:i/>
          <w:lang w:eastAsia="en-US"/>
        </w:rPr>
        <w:t>impairment</w:t>
      </w:r>
      <w:r w:rsidR="00D635DE" w:rsidRPr="00EA0BB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dell’avviamento </w:t>
      </w:r>
      <w:r w:rsidR="00D635DE" w:rsidRPr="00EA0BB9">
        <w:rPr>
          <w:rFonts w:eastAsia="Calibri"/>
          <w:lang w:eastAsia="en-US"/>
        </w:rPr>
        <w:t>nel bilancio di gruppo, la contabilizzazione degli strumenti finanziari), particolarmente rilevanti nella prospettiva delle società emittenti titoli quotati nei mercati regolamentati</w:t>
      </w:r>
      <w:r>
        <w:rPr>
          <w:rFonts w:eastAsia="Calibri"/>
          <w:lang w:eastAsia="en-US"/>
        </w:rPr>
        <w:t xml:space="preserve">. </w:t>
      </w:r>
      <w:r w:rsidR="0086114B">
        <w:rPr>
          <w:rFonts w:eastAsia="Calibri"/>
          <w:lang w:eastAsia="en-US"/>
        </w:rPr>
        <w:t>Al termine, il corso introduce al</w:t>
      </w:r>
      <w:r w:rsidR="00C306E5">
        <w:rPr>
          <w:rFonts w:eastAsia="Calibri"/>
          <w:lang w:eastAsia="en-US"/>
        </w:rPr>
        <w:t>l’argomento</w:t>
      </w:r>
      <w:r w:rsidR="0086114B">
        <w:rPr>
          <w:rFonts w:eastAsia="Calibri"/>
          <w:lang w:eastAsia="en-US"/>
        </w:rPr>
        <w:t xml:space="preserve"> dell’integrazione dell’informativa finanziaria nelle previsioni degli analisti nel contesto della predisposizione degli </w:t>
      </w:r>
      <w:r w:rsidR="0086114B" w:rsidRPr="00316DCB">
        <w:rPr>
          <w:rFonts w:eastAsia="Calibri"/>
          <w:i/>
          <w:iCs/>
          <w:lang w:eastAsia="en-US"/>
        </w:rPr>
        <w:t xml:space="preserve">equity </w:t>
      </w:r>
      <w:proofErr w:type="spellStart"/>
      <w:r w:rsidR="0086114B" w:rsidRPr="00316DCB">
        <w:rPr>
          <w:rFonts w:eastAsia="Calibri"/>
          <w:i/>
          <w:iCs/>
          <w:lang w:eastAsia="en-US"/>
        </w:rPr>
        <w:t>research</w:t>
      </w:r>
      <w:proofErr w:type="spellEnd"/>
      <w:r w:rsidR="00316DCB">
        <w:rPr>
          <w:rFonts w:eastAsia="Calibri"/>
          <w:lang w:eastAsia="en-US"/>
        </w:rPr>
        <w:t>.</w:t>
      </w:r>
      <w:r w:rsidR="0086114B">
        <w:rPr>
          <w:rFonts w:eastAsia="Calibri"/>
          <w:lang w:eastAsia="en-US"/>
        </w:rPr>
        <w:t xml:space="preserve"> </w:t>
      </w:r>
    </w:p>
    <w:p w14:paraId="6077F80B" w14:textId="0385BD64" w:rsidR="009C4F02" w:rsidRPr="00316DCB" w:rsidRDefault="009C4F02" w:rsidP="00301998">
      <w:pPr>
        <w:spacing w:line="240" w:lineRule="exact"/>
        <w:rPr>
          <w:rFonts w:eastAsia="Calibri"/>
          <w:lang w:eastAsia="en-US"/>
        </w:rPr>
      </w:pPr>
      <w:r w:rsidRPr="00316DCB">
        <w:rPr>
          <w:rFonts w:eastAsia="Calibri"/>
          <w:lang w:eastAsia="en-US"/>
        </w:rPr>
        <w:t>Al termine dell'insegnamento, lo studente conoscerà:</w:t>
      </w:r>
    </w:p>
    <w:p w14:paraId="5EF1FFF5" w14:textId="77777777" w:rsidR="009C4F02" w:rsidRDefault="009C4F02" w:rsidP="009C4F02">
      <w:pPr>
        <w:spacing w:line="240" w:lineRule="exact"/>
        <w:ind w:left="284" w:hanging="284"/>
      </w:pPr>
      <w:r>
        <w:t>–</w:t>
      </w:r>
      <w:r>
        <w:tab/>
        <w:t>la logica alla redazione del bilancio secondo i principi contabili internazionali;</w:t>
      </w:r>
    </w:p>
    <w:p w14:paraId="1C527A68" w14:textId="0E0A6292" w:rsidR="009C4F02" w:rsidRDefault="009C4F02" w:rsidP="009C4F02">
      <w:pPr>
        <w:spacing w:line="240" w:lineRule="exact"/>
        <w:ind w:left="284" w:hanging="284"/>
      </w:pPr>
      <w:r>
        <w:t>–</w:t>
      </w:r>
      <w:r>
        <w:tab/>
        <w:t>la logica di costruzione, di lettura e di interpretazione del bilancio consolidato di gruppo redatto secondo i principi contabili internazionali;</w:t>
      </w:r>
    </w:p>
    <w:p w14:paraId="79A299D1" w14:textId="3FA8B285" w:rsidR="009C4F02" w:rsidRDefault="009C4F02" w:rsidP="009C4F02">
      <w:pPr>
        <w:spacing w:line="240" w:lineRule="exact"/>
        <w:ind w:left="284" w:hanging="284"/>
      </w:pPr>
      <w:r>
        <w:t>–</w:t>
      </w:r>
      <w:r>
        <w:tab/>
        <w:t>alcuni temi avanzati IAS/IFRS (approcci alla contabilizzazione delle operazioni di M&amp;A in bilancio consolidato, contabilizzazione degli strumenti finanziari).</w:t>
      </w:r>
    </w:p>
    <w:p w14:paraId="26ECF8EE" w14:textId="0A1A6503" w:rsidR="009C4F02" w:rsidRDefault="00B44F4B" w:rsidP="00B44F4B">
      <w:r>
        <w:t xml:space="preserve">Al termine del corso, lo studente dovrebbe </w:t>
      </w:r>
      <w:r w:rsidR="009C4F02">
        <w:t>sarà in grado di</w:t>
      </w:r>
      <w:r>
        <w:t>:</w:t>
      </w:r>
    </w:p>
    <w:p w14:paraId="61FBA076" w14:textId="31A1DDC9" w:rsidR="00D635DE" w:rsidRDefault="00D635DE" w:rsidP="00301998">
      <w:pPr>
        <w:spacing w:line="240" w:lineRule="exact"/>
        <w:ind w:left="284" w:hanging="284"/>
      </w:pPr>
      <w:r>
        <w:t>–</w:t>
      </w:r>
      <w:r>
        <w:tab/>
      </w:r>
      <w:r w:rsidR="009C4F02">
        <w:t xml:space="preserve">costruire il </w:t>
      </w:r>
      <w:r>
        <w:t>bilancio consolidato di gruppo secondo i principi contabili internazionali;</w:t>
      </w:r>
    </w:p>
    <w:p w14:paraId="126A8A8E" w14:textId="29C63C9E" w:rsidR="00D635DE" w:rsidRDefault="00D635DE" w:rsidP="00301998">
      <w:pPr>
        <w:spacing w:line="240" w:lineRule="exact"/>
        <w:ind w:left="284" w:hanging="284"/>
      </w:pPr>
      <w:r>
        <w:t>–</w:t>
      </w:r>
      <w:r>
        <w:tab/>
      </w:r>
      <w:r w:rsidR="009C4F02">
        <w:t xml:space="preserve">riconoscere le </w:t>
      </w:r>
      <w:r>
        <w:t>operazioni di M&amp;A in bilancio consolidato secondo l’IFRS 3;</w:t>
      </w:r>
    </w:p>
    <w:p w14:paraId="1C52356A" w14:textId="35102FA6" w:rsidR="00D635DE" w:rsidRDefault="00D635DE" w:rsidP="00301998">
      <w:pPr>
        <w:spacing w:line="240" w:lineRule="exact"/>
        <w:ind w:left="284" w:hanging="284"/>
      </w:pPr>
      <w:r>
        <w:t>–</w:t>
      </w:r>
      <w:r>
        <w:tab/>
      </w:r>
      <w:r w:rsidR="009C4F02">
        <w:t xml:space="preserve">sviluppare il </w:t>
      </w:r>
      <w:r w:rsidRPr="005A210A">
        <w:rPr>
          <w:i/>
        </w:rPr>
        <w:t>test</w:t>
      </w:r>
      <w:r>
        <w:t xml:space="preserve"> di </w:t>
      </w:r>
      <w:r w:rsidRPr="005A210A">
        <w:rPr>
          <w:i/>
        </w:rPr>
        <w:t>impairment</w:t>
      </w:r>
      <w:r>
        <w:t xml:space="preserve"> del </w:t>
      </w:r>
      <w:proofErr w:type="spellStart"/>
      <w:r w:rsidRPr="005A210A">
        <w:rPr>
          <w:i/>
        </w:rPr>
        <w:t>goodwill</w:t>
      </w:r>
      <w:proofErr w:type="spellEnd"/>
      <w:r>
        <w:t xml:space="preserve"> ai fini del bilancio consolidato ai sensi dello IAS 36;</w:t>
      </w:r>
    </w:p>
    <w:p w14:paraId="18D7F675" w14:textId="75D63239" w:rsidR="00942221" w:rsidRDefault="00D635DE" w:rsidP="00942221">
      <w:pPr>
        <w:spacing w:line="240" w:lineRule="exact"/>
        <w:ind w:left="284" w:hanging="284"/>
      </w:pPr>
      <w:r>
        <w:t>–</w:t>
      </w:r>
      <w:r>
        <w:tab/>
      </w:r>
      <w:r w:rsidR="009C4F02">
        <w:t xml:space="preserve">classificare </w:t>
      </w:r>
      <w:r>
        <w:t>e valuta</w:t>
      </w:r>
      <w:r w:rsidR="009C4F02">
        <w:t xml:space="preserve">re </w:t>
      </w:r>
      <w:r>
        <w:t>gli strumenti finanziari nel bilancio consolidato in applicazione dell’IFRS 9</w:t>
      </w:r>
      <w:r w:rsidR="00942221">
        <w:t>;</w:t>
      </w:r>
    </w:p>
    <w:p w14:paraId="33DA208A" w14:textId="4855FA4B" w:rsidR="0023636A" w:rsidRDefault="00B679E5" w:rsidP="00942221">
      <w:pPr>
        <w:spacing w:line="240" w:lineRule="exact"/>
        <w:ind w:left="284" w:hanging="284"/>
      </w:pPr>
      <w:r>
        <w:lastRenderedPageBreak/>
        <w:t xml:space="preserve">– </w:t>
      </w:r>
      <w:r>
        <w:tab/>
        <w:t>rappresentare le operazioni di leasing ai sensi dell’IFRS 16;</w:t>
      </w:r>
    </w:p>
    <w:p w14:paraId="6BA4DBFE" w14:textId="193D2FEA" w:rsidR="0086114B" w:rsidRDefault="00942221" w:rsidP="0086114B">
      <w:pPr>
        <w:spacing w:line="240" w:lineRule="exact"/>
        <w:ind w:left="284" w:hanging="284"/>
      </w:pPr>
      <w:r>
        <w:t>–</w:t>
      </w:r>
      <w:r>
        <w:tab/>
      </w:r>
      <w:r w:rsidR="009C4F02">
        <w:t xml:space="preserve">leggere e interpretare il </w:t>
      </w:r>
      <w:r>
        <w:t>bilancio consolidato</w:t>
      </w:r>
      <w:r w:rsidR="0086114B">
        <w:t>;</w:t>
      </w:r>
    </w:p>
    <w:p w14:paraId="36035AE6" w14:textId="7716C5E6" w:rsidR="0086114B" w:rsidRDefault="0086114B" w:rsidP="0086114B">
      <w:pPr>
        <w:spacing w:line="240" w:lineRule="exact"/>
        <w:ind w:left="284" w:hanging="284"/>
      </w:pPr>
      <w:r>
        <w:t>–</w:t>
      </w:r>
      <w:r>
        <w:tab/>
      </w:r>
      <w:r w:rsidR="009C4F02">
        <w:t xml:space="preserve">comprendere </w:t>
      </w:r>
      <w:r>
        <w:t xml:space="preserve">le relazioni tra informativa finanziaria ed </w:t>
      </w:r>
      <w:r w:rsidRPr="006320A7">
        <w:rPr>
          <w:i/>
          <w:iCs/>
        </w:rPr>
        <w:t xml:space="preserve">equity </w:t>
      </w:r>
      <w:proofErr w:type="spellStart"/>
      <w:r w:rsidRPr="006320A7">
        <w:rPr>
          <w:i/>
          <w:iCs/>
        </w:rPr>
        <w:t>research</w:t>
      </w:r>
      <w:proofErr w:type="spellEnd"/>
      <w:r>
        <w:t>.</w:t>
      </w:r>
    </w:p>
    <w:p w14:paraId="5D40E3AF" w14:textId="77777777" w:rsidR="00D635DE" w:rsidRDefault="00D635DE" w:rsidP="0030199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D6B8D6A" w14:textId="77777777" w:rsidR="00D635DE" w:rsidRPr="00EA0BB9" w:rsidRDefault="003631C9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i/>
          <w:szCs w:val="22"/>
          <w:lang w:eastAsia="en-US"/>
        </w:rPr>
      </w:pPr>
      <w:r w:rsidRPr="003631C9">
        <w:rPr>
          <w:rFonts w:eastAsia="Calibri"/>
          <w:szCs w:val="22"/>
          <w:lang w:eastAsia="en-US"/>
        </w:rPr>
        <w:t>1.</w:t>
      </w:r>
      <w:r w:rsidRPr="003631C9">
        <w:rPr>
          <w:rFonts w:eastAsia="Calibri"/>
          <w:szCs w:val="22"/>
          <w:lang w:eastAsia="en-US"/>
        </w:rPr>
        <w:tab/>
      </w:r>
      <w:r w:rsidR="00D635DE" w:rsidRPr="00EA0BB9">
        <w:rPr>
          <w:rFonts w:eastAsia="Calibri"/>
          <w:i/>
          <w:szCs w:val="22"/>
          <w:lang w:eastAsia="en-US"/>
        </w:rPr>
        <w:t>Il bilancio IAS/IFRS: i fondamenti.</w:t>
      </w:r>
    </w:p>
    <w:p w14:paraId="421CD102" w14:textId="77777777" w:rsidR="00D635DE" w:rsidRPr="00EA0BB9" w:rsidRDefault="00D635DE" w:rsidP="00301998">
      <w:pPr>
        <w:numPr>
          <w:ilvl w:val="0"/>
          <w:numId w:val="1"/>
        </w:numPr>
        <w:tabs>
          <w:tab w:val="clear" w:pos="284"/>
          <w:tab w:val="left" w:pos="0"/>
          <w:tab w:val="left" w:pos="426"/>
        </w:tabs>
        <w:spacing w:line="240" w:lineRule="exact"/>
        <w:ind w:left="284" w:hanging="284"/>
        <w:contextualSpacing/>
        <w:rPr>
          <w:rFonts w:eastAsia="Calibri"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>I principi di riferimento.</w:t>
      </w:r>
    </w:p>
    <w:p w14:paraId="668B07BA" w14:textId="77777777" w:rsidR="00D635DE" w:rsidRPr="00EA0BB9" w:rsidRDefault="00D635DE" w:rsidP="00301998">
      <w:pPr>
        <w:numPr>
          <w:ilvl w:val="0"/>
          <w:numId w:val="1"/>
        </w:numPr>
        <w:tabs>
          <w:tab w:val="clear" w:pos="284"/>
          <w:tab w:val="left" w:pos="0"/>
        </w:tabs>
        <w:spacing w:line="240" w:lineRule="exact"/>
        <w:ind w:left="284" w:hanging="284"/>
        <w:contextualSpacing/>
        <w:rPr>
          <w:rFonts w:eastAsia="Calibri"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 xml:space="preserve">La logica valutativa e i rapporti tra costo e fair </w:t>
      </w:r>
      <w:proofErr w:type="spellStart"/>
      <w:r w:rsidRPr="00EA0BB9">
        <w:rPr>
          <w:rFonts w:eastAsia="Calibri"/>
          <w:szCs w:val="22"/>
          <w:lang w:eastAsia="en-US"/>
        </w:rPr>
        <w:t>value</w:t>
      </w:r>
      <w:proofErr w:type="spellEnd"/>
      <w:r w:rsidRPr="00EA0BB9">
        <w:rPr>
          <w:rFonts w:eastAsia="Calibri"/>
          <w:szCs w:val="22"/>
          <w:lang w:eastAsia="en-US"/>
        </w:rPr>
        <w:t>.</w:t>
      </w:r>
    </w:p>
    <w:p w14:paraId="7EB447C7" w14:textId="77777777" w:rsidR="00D635DE" w:rsidRPr="00EA0BB9" w:rsidRDefault="00D635DE" w:rsidP="00301998">
      <w:pPr>
        <w:numPr>
          <w:ilvl w:val="0"/>
          <w:numId w:val="1"/>
        </w:numPr>
        <w:tabs>
          <w:tab w:val="clear" w:pos="284"/>
          <w:tab w:val="left" w:pos="0"/>
        </w:tabs>
        <w:spacing w:line="240" w:lineRule="exact"/>
        <w:ind w:left="284" w:hanging="284"/>
        <w:contextualSpacing/>
        <w:rPr>
          <w:rFonts w:eastAsia="Calibri"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>Il bilancio separato e il bilancio consolidato</w:t>
      </w:r>
      <w:r>
        <w:rPr>
          <w:rFonts w:eastAsia="Calibri"/>
          <w:szCs w:val="22"/>
          <w:lang w:eastAsia="en-US"/>
        </w:rPr>
        <w:t>.</w:t>
      </w:r>
    </w:p>
    <w:p w14:paraId="65329BFF" w14:textId="2D5612B4" w:rsidR="00D635DE" w:rsidRPr="00EA0BB9" w:rsidRDefault="00D635DE" w:rsidP="00301998">
      <w:pPr>
        <w:numPr>
          <w:ilvl w:val="0"/>
          <w:numId w:val="1"/>
        </w:numPr>
        <w:tabs>
          <w:tab w:val="clear" w:pos="284"/>
          <w:tab w:val="left" w:pos="0"/>
        </w:tabs>
        <w:spacing w:line="240" w:lineRule="exact"/>
        <w:ind w:left="284" w:hanging="284"/>
        <w:contextualSpacing/>
        <w:rPr>
          <w:rFonts w:eastAsia="Calibri"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 xml:space="preserve">Le struttura di stato patrimoniale e conto economico: classificazioni, OCI, </w:t>
      </w:r>
      <w:proofErr w:type="spellStart"/>
      <w:r w:rsidRPr="00EA0BB9">
        <w:rPr>
          <w:rFonts w:eastAsia="Calibri"/>
          <w:szCs w:val="22"/>
          <w:lang w:eastAsia="en-US"/>
        </w:rPr>
        <w:t>recycling</w:t>
      </w:r>
      <w:proofErr w:type="spellEnd"/>
      <w:r w:rsidRPr="00EA0BB9">
        <w:rPr>
          <w:rFonts w:eastAsia="Calibri"/>
          <w:szCs w:val="22"/>
          <w:lang w:eastAsia="en-US"/>
        </w:rPr>
        <w:t xml:space="preserve">. </w:t>
      </w:r>
    </w:p>
    <w:p w14:paraId="61976578" w14:textId="77777777" w:rsidR="00D635DE" w:rsidRPr="00EA0BB9" w:rsidRDefault="00D635DE" w:rsidP="00301998">
      <w:pPr>
        <w:tabs>
          <w:tab w:val="left" w:pos="426"/>
        </w:tabs>
        <w:spacing w:before="120" w:line="240" w:lineRule="exact"/>
        <w:ind w:left="284" w:hanging="284"/>
        <w:rPr>
          <w:rFonts w:eastAsia="Calibri"/>
          <w:i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>2.</w:t>
      </w:r>
      <w:r w:rsidRPr="00EA0BB9">
        <w:rPr>
          <w:rFonts w:eastAsia="Calibri"/>
          <w:szCs w:val="22"/>
          <w:lang w:eastAsia="en-US"/>
        </w:rPr>
        <w:tab/>
      </w:r>
      <w:r w:rsidRPr="00EA0BB9">
        <w:rPr>
          <w:rFonts w:eastAsia="Calibri"/>
          <w:i/>
          <w:szCs w:val="22"/>
          <w:lang w:eastAsia="en-US"/>
        </w:rPr>
        <w:t xml:space="preserve">La redazione del bilancio consolidato IAS/IFRS. </w:t>
      </w:r>
    </w:p>
    <w:p w14:paraId="081C92A6" w14:textId="77777777" w:rsidR="00D635DE" w:rsidRPr="00EA0BB9" w:rsidRDefault="00D635DE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>–</w:t>
      </w:r>
      <w:r w:rsidRPr="00EA0BB9">
        <w:rPr>
          <w:rFonts w:eastAsia="Calibri"/>
          <w:szCs w:val="22"/>
          <w:lang w:eastAsia="en-US"/>
        </w:rPr>
        <w:tab/>
        <w:t>I fondamenti metodologici del bilancio consolidato.</w:t>
      </w:r>
    </w:p>
    <w:p w14:paraId="4B32ACEA" w14:textId="77777777" w:rsidR="00D635DE" w:rsidRPr="00EA0BB9" w:rsidRDefault="00D635DE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>–</w:t>
      </w:r>
      <w:r w:rsidRPr="00EA0BB9">
        <w:rPr>
          <w:rFonts w:eastAsia="Calibri"/>
          <w:szCs w:val="22"/>
          <w:lang w:eastAsia="en-US"/>
        </w:rPr>
        <w:tab/>
        <w:t>La misurazione del capitale e del reddito di gruppo.</w:t>
      </w:r>
    </w:p>
    <w:p w14:paraId="72207934" w14:textId="77777777" w:rsidR="00D635DE" w:rsidRPr="00EA0BB9" w:rsidRDefault="00D635DE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>–</w:t>
      </w:r>
      <w:r w:rsidRPr="00EA0BB9">
        <w:rPr>
          <w:rFonts w:eastAsia="Calibri"/>
          <w:szCs w:val="22"/>
          <w:lang w:eastAsia="en-US"/>
        </w:rPr>
        <w:tab/>
        <w:t>L’origine e l’analisi delle differenze di consolidamento.</w:t>
      </w:r>
    </w:p>
    <w:p w14:paraId="62D6A4D1" w14:textId="77777777" w:rsidR="00D635DE" w:rsidRDefault="00D635DE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>–</w:t>
      </w:r>
      <w:r w:rsidRPr="00EA0BB9">
        <w:rPr>
          <w:rFonts w:eastAsia="Calibri"/>
          <w:szCs w:val="22"/>
          <w:lang w:eastAsia="en-US"/>
        </w:rPr>
        <w:tab/>
        <w:t>Le elisioni e le rettifiche di consolidamento.</w:t>
      </w:r>
    </w:p>
    <w:p w14:paraId="7A0F6762" w14:textId="77777777" w:rsidR="00D635DE" w:rsidRPr="00EA0BB9" w:rsidRDefault="00D635DE" w:rsidP="00301998">
      <w:pPr>
        <w:tabs>
          <w:tab w:val="left" w:pos="426"/>
        </w:tabs>
        <w:spacing w:before="120" w:line="240" w:lineRule="exact"/>
        <w:ind w:left="284" w:hanging="284"/>
        <w:rPr>
          <w:rFonts w:eastAsia="Calibri"/>
          <w:i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>3.</w:t>
      </w:r>
      <w:r w:rsidRPr="00EA0BB9">
        <w:rPr>
          <w:rFonts w:eastAsia="Calibri"/>
          <w:szCs w:val="22"/>
          <w:lang w:eastAsia="en-US"/>
        </w:rPr>
        <w:tab/>
      </w:r>
      <w:r w:rsidRPr="00EA0BB9">
        <w:rPr>
          <w:rFonts w:eastAsia="Calibri"/>
          <w:i/>
          <w:szCs w:val="22"/>
          <w:lang w:eastAsia="en-US"/>
        </w:rPr>
        <w:t xml:space="preserve">Le business </w:t>
      </w:r>
      <w:proofErr w:type="spellStart"/>
      <w:r w:rsidRPr="00EA0BB9">
        <w:rPr>
          <w:rFonts w:eastAsia="Calibri"/>
          <w:i/>
          <w:szCs w:val="22"/>
          <w:lang w:eastAsia="en-US"/>
        </w:rPr>
        <w:t>combination</w:t>
      </w:r>
      <w:proofErr w:type="spellEnd"/>
      <w:r w:rsidRPr="00EA0BB9">
        <w:rPr>
          <w:rFonts w:eastAsia="Calibri"/>
          <w:i/>
          <w:szCs w:val="22"/>
          <w:lang w:eastAsia="en-US"/>
        </w:rPr>
        <w:t xml:space="preserve"> nella disciplina degli IAS/IFRS.</w:t>
      </w:r>
    </w:p>
    <w:p w14:paraId="3BFE1C27" w14:textId="77777777" w:rsidR="00942221" w:rsidRDefault="00D635DE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>–</w:t>
      </w:r>
      <w:r w:rsidRPr="00EA0BB9">
        <w:rPr>
          <w:rFonts w:eastAsia="Calibri"/>
          <w:szCs w:val="22"/>
          <w:lang w:eastAsia="en-US"/>
        </w:rPr>
        <w:tab/>
      </w:r>
      <w:r w:rsidR="00942221" w:rsidRPr="00EA0BB9">
        <w:rPr>
          <w:rFonts w:eastAsia="Calibri"/>
          <w:szCs w:val="22"/>
          <w:lang w:eastAsia="en-US"/>
        </w:rPr>
        <w:t xml:space="preserve">I metodi di rilevazione delle </w:t>
      </w:r>
      <w:r w:rsidR="00942221" w:rsidRPr="00EA0BB9">
        <w:rPr>
          <w:rFonts w:eastAsia="Calibri"/>
          <w:i/>
          <w:szCs w:val="22"/>
          <w:lang w:eastAsia="en-US"/>
        </w:rPr>
        <w:t xml:space="preserve">business </w:t>
      </w:r>
      <w:proofErr w:type="spellStart"/>
      <w:r w:rsidR="00942221" w:rsidRPr="00EA0BB9">
        <w:rPr>
          <w:rFonts w:eastAsia="Calibri"/>
          <w:i/>
          <w:szCs w:val="22"/>
          <w:lang w:eastAsia="en-US"/>
        </w:rPr>
        <w:t>combination</w:t>
      </w:r>
      <w:proofErr w:type="spellEnd"/>
      <w:r w:rsidR="00942221" w:rsidRPr="00EA0BB9">
        <w:rPr>
          <w:rFonts w:eastAsia="Calibri"/>
          <w:szCs w:val="22"/>
          <w:lang w:eastAsia="en-US"/>
        </w:rPr>
        <w:t>.</w:t>
      </w:r>
    </w:p>
    <w:p w14:paraId="50CA0085" w14:textId="77777777" w:rsidR="00D635DE" w:rsidRPr="00EA0BB9" w:rsidRDefault="00D635DE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>–</w:t>
      </w:r>
      <w:r w:rsidRPr="00EA0BB9">
        <w:rPr>
          <w:rFonts w:eastAsia="Calibri"/>
          <w:szCs w:val="22"/>
          <w:lang w:eastAsia="en-US"/>
        </w:rPr>
        <w:tab/>
        <w:t xml:space="preserve">La </w:t>
      </w:r>
      <w:proofErr w:type="spellStart"/>
      <w:r w:rsidRPr="00EA0BB9">
        <w:rPr>
          <w:rFonts w:eastAsia="Calibri"/>
          <w:i/>
          <w:szCs w:val="22"/>
          <w:lang w:eastAsia="en-US"/>
        </w:rPr>
        <w:t>purchase</w:t>
      </w:r>
      <w:proofErr w:type="spellEnd"/>
      <w:r w:rsidRPr="00EA0BB9">
        <w:rPr>
          <w:rFonts w:eastAsia="Calibri"/>
          <w:i/>
          <w:szCs w:val="22"/>
          <w:lang w:eastAsia="en-US"/>
        </w:rPr>
        <w:t xml:space="preserve"> price </w:t>
      </w:r>
      <w:proofErr w:type="spellStart"/>
      <w:r w:rsidRPr="00EA0BB9">
        <w:rPr>
          <w:rFonts w:eastAsia="Calibri"/>
          <w:i/>
          <w:szCs w:val="22"/>
          <w:lang w:eastAsia="en-US"/>
        </w:rPr>
        <w:t>allocation</w:t>
      </w:r>
      <w:proofErr w:type="spellEnd"/>
      <w:r w:rsidRPr="00EA0BB9">
        <w:rPr>
          <w:rFonts w:eastAsia="Calibri"/>
          <w:szCs w:val="22"/>
          <w:lang w:eastAsia="en-US"/>
        </w:rPr>
        <w:t>: presupposti ed effetti.</w:t>
      </w:r>
    </w:p>
    <w:p w14:paraId="62EC87B8" w14:textId="77777777" w:rsidR="00D635DE" w:rsidRPr="00EA0BB9" w:rsidRDefault="00D635DE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>–</w:t>
      </w:r>
      <w:r w:rsidRPr="00EA0BB9">
        <w:rPr>
          <w:rFonts w:eastAsia="Calibri"/>
          <w:szCs w:val="22"/>
          <w:lang w:eastAsia="en-US"/>
        </w:rPr>
        <w:tab/>
        <w:t xml:space="preserve">Il trattamento delle </w:t>
      </w:r>
      <w:proofErr w:type="spellStart"/>
      <w:r w:rsidRPr="00EA0BB9">
        <w:rPr>
          <w:rFonts w:eastAsia="Calibri"/>
          <w:i/>
          <w:szCs w:val="22"/>
          <w:lang w:eastAsia="en-US"/>
        </w:rPr>
        <w:t>minority</w:t>
      </w:r>
      <w:proofErr w:type="spellEnd"/>
      <w:r w:rsidRPr="00EA0BB9">
        <w:rPr>
          <w:rFonts w:eastAsia="Calibri"/>
          <w:szCs w:val="22"/>
          <w:lang w:eastAsia="en-US"/>
        </w:rPr>
        <w:t xml:space="preserve"> e la </w:t>
      </w:r>
      <w:proofErr w:type="spellStart"/>
      <w:r w:rsidRPr="00EA0BB9">
        <w:rPr>
          <w:rFonts w:eastAsia="Calibri"/>
          <w:i/>
          <w:szCs w:val="22"/>
          <w:lang w:eastAsia="en-US"/>
        </w:rPr>
        <w:t>step-up</w:t>
      </w:r>
      <w:proofErr w:type="spellEnd"/>
      <w:r w:rsidRPr="00EA0BB9">
        <w:rPr>
          <w:rFonts w:eastAsia="Calibri"/>
          <w:i/>
          <w:szCs w:val="22"/>
          <w:lang w:eastAsia="en-US"/>
        </w:rPr>
        <w:t xml:space="preserve"> </w:t>
      </w:r>
      <w:proofErr w:type="spellStart"/>
      <w:r w:rsidRPr="00EA0BB9">
        <w:rPr>
          <w:rFonts w:eastAsia="Calibri"/>
          <w:i/>
          <w:szCs w:val="22"/>
          <w:lang w:eastAsia="en-US"/>
        </w:rPr>
        <w:t>acquisition</w:t>
      </w:r>
      <w:proofErr w:type="spellEnd"/>
      <w:r w:rsidRPr="00EA0BB9">
        <w:rPr>
          <w:rFonts w:eastAsia="Calibri"/>
          <w:i/>
          <w:szCs w:val="22"/>
          <w:lang w:eastAsia="en-US"/>
        </w:rPr>
        <w:t>.</w:t>
      </w:r>
    </w:p>
    <w:p w14:paraId="271F998D" w14:textId="77777777" w:rsidR="00D635DE" w:rsidRPr="00EA0BB9" w:rsidRDefault="00D635DE" w:rsidP="00301998">
      <w:pPr>
        <w:tabs>
          <w:tab w:val="left" w:pos="426"/>
        </w:tabs>
        <w:spacing w:before="120" w:line="240" w:lineRule="exact"/>
        <w:ind w:left="284" w:hanging="284"/>
        <w:rPr>
          <w:rFonts w:eastAsia="Calibri"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>4.</w:t>
      </w:r>
      <w:r w:rsidRPr="00EA0BB9">
        <w:rPr>
          <w:rFonts w:eastAsia="Calibri"/>
          <w:szCs w:val="22"/>
          <w:lang w:eastAsia="en-US"/>
        </w:rPr>
        <w:tab/>
      </w:r>
      <w:r w:rsidRPr="00EA0BB9">
        <w:rPr>
          <w:rFonts w:eastAsia="Calibri"/>
          <w:i/>
          <w:szCs w:val="22"/>
          <w:lang w:eastAsia="en-US"/>
        </w:rPr>
        <w:t>L’impairment test nel bilancio consolidato.</w:t>
      </w:r>
    </w:p>
    <w:p w14:paraId="02528BCB" w14:textId="77777777" w:rsidR="00D635DE" w:rsidRPr="00EA0BB9" w:rsidRDefault="00D635DE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>–</w:t>
      </w:r>
      <w:r w:rsidRPr="00EA0BB9">
        <w:rPr>
          <w:rFonts w:eastAsia="Calibri"/>
          <w:szCs w:val="22"/>
          <w:lang w:eastAsia="en-US"/>
        </w:rPr>
        <w:tab/>
        <w:t>Le finalità e gli ambiti di applicazione dell’</w:t>
      </w:r>
      <w:r w:rsidRPr="00EA0BB9">
        <w:rPr>
          <w:rFonts w:eastAsia="Calibri"/>
          <w:i/>
          <w:szCs w:val="22"/>
          <w:lang w:eastAsia="en-US"/>
        </w:rPr>
        <w:t>impairment test</w:t>
      </w:r>
      <w:r w:rsidRPr="00EA0BB9">
        <w:rPr>
          <w:rFonts w:eastAsia="Calibri"/>
          <w:szCs w:val="22"/>
          <w:lang w:eastAsia="en-US"/>
        </w:rPr>
        <w:t>.</w:t>
      </w:r>
    </w:p>
    <w:p w14:paraId="33C9AEDB" w14:textId="77777777" w:rsidR="00D635DE" w:rsidRPr="00EA0BB9" w:rsidRDefault="00D635DE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>–</w:t>
      </w:r>
      <w:r w:rsidRPr="00EA0BB9">
        <w:rPr>
          <w:rFonts w:eastAsia="Calibri"/>
          <w:szCs w:val="22"/>
          <w:lang w:eastAsia="en-US"/>
        </w:rPr>
        <w:tab/>
        <w:t>L’impairment test degli intangibili e dell’avviamento.</w:t>
      </w:r>
    </w:p>
    <w:p w14:paraId="5B45E5AB" w14:textId="77777777" w:rsidR="00D635DE" w:rsidRPr="00EA0BB9" w:rsidRDefault="00D635DE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val="en-US" w:eastAsia="en-US"/>
        </w:rPr>
      </w:pPr>
      <w:r w:rsidRPr="00EA0BB9">
        <w:rPr>
          <w:rFonts w:eastAsia="Calibri"/>
          <w:szCs w:val="22"/>
          <w:lang w:val="en-US" w:eastAsia="en-US"/>
        </w:rPr>
        <w:t>–</w:t>
      </w:r>
      <w:r w:rsidRPr="00EA0BB9">
        <w:rPr>
          <w:rFonts w:eastAsia="Calibri"/>
          <w:szCs w:val="22"/>
          <w:lang w:val="en-US" w:eastAsia="en-US"/>
        </w:rPr>
        <w:tab/>
      </w:r>
      <w:r w:rsidRPr="00EA0BB9">
        <w:rPr>
          <w:rFonts w:eastAsia="Calibri"/>
          <w:i/>
          <w:szCs w:val="22"/>
          <w:lang w:val="en-US" w:eastAsia="en-US"/>
        </w:rPr>
        <w:t xml:space="preserve">Business combination, cash generating unit </w:t>
      </w:r>
      <w:r w:rsidRPr="00EA0BB9">
        <w:rPr>
          <w:rFonts w:eastAsia="Calibri"/>
          <w:szCs w:val="22"/>
          <w:lang w:val="en-US" w:eastAsia="en-US"/>
        </w:rPr>
        <w:t>e</w:t>
      </w:r>
      <w:r w:rsidRPr="00EA0BB9">
        <w:rPr>
          <w:rFonts w:eastAsia="Calibri"/>
          <w:i/>
          <w:szCs w:val="22"/>
          <w:lang w:val="en-US" w:eastAsia="en-US"/>
        </w:rPr>
        <w:t xml:space="preserve"> impairment test</w:t>
      </w:r>
      <w:r w:rsidRPr="00EA0BB9">
        <w:rPr>
          <w:rFonts w:eastAsia="Calibri"/>
          <w:szCs w:val="22"/>
          <w:lang w:val="en-US" w:eastAsia="en-US"/>
        </w:rPr>
        <w:t>.</w:t>
      </w:r>
    </w:p>
    <w:p w14:paraId="2388C75C" w14:textId="256EABAF" w:rsidR="00D635DE" w:rsidRPr="00EA0BB9" w:rsidRDefault="00D635DE" w:rsidP="00301998">
      <w:pPr>
        <w:tabs>
          <w:tab w:val="left" w:pos="426"/>
        </w:tabs>
        <w:spacing w:before="120" w:line="240" w:lineRule="exact"/>
        <w:ind w:left="284" w:hanging="284"/>
        <w:rPr>
          <w:rFonts w:eastAsia="Calibri"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>5.</w:t>
      </w:r>
      <w:r w:rsidRPr="00EA0BB9">
        <w:rPr>
          <w:rFonts w:eastAsia="Calibri"/>
          <w:szCs w:val="22"/>
          <w:lang w:eastAsia="en-US"/>
        </w:rPr>
        <w:tab/>
      </w:r>
      <w:r w:rsidRPr="00EA0BB9">
        <w:rPr>
          <w:rFonts w:eastAsia="Calibri"/>
          <w:i/>
          <w:szCs w:val="22"/>
          <w:lang w:eastAsia="en-US"/>
        </w:rPr>
        <w:t>La rilevazione e la valutazione degli strumenti finanziari</w:t>
      </w:r>
      <w:r w:rsidR="00EC26C5">
        <w:rPr>
          <w:rFonts w:eastAsia="Calibri"/>
          <w:i/>
          <w:szCs w:val="22"/>
          <w:lang w:eastAsia="en-US"/>
        </w:rPr>
        <w:t xml:space="preserve"> e dei contratti di leasing</w:t>
      </w:r>
      <w:r w:rsidRPr="00EA0BB9">
        <w:rPr>
          <w:rFonts w:eastAsia="Calibri"/>
          <w:i/>
          <w:szCs w:val="22"/>
          <w:lang w:eastAsia="en-US"/>
        </w:rPr>
        <w:t>.</w:t>
      </w:r>
    </w:p>
    <w:p w14:paraId="5154E006" w14:textId="77777777" w:rsidR="00D635DE" w:rsidRPr="00EA0BB9" w:rsidRDefault="00D635DE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>–</w:t>
      </w:r>
      <w:r w:rsidRPr="00EA0BB9">
        <w:rPr>
          <w:rFonts w:eastAsia="Calibri"/>
          <w:szCs w:val="22"/>
          <w:lang w:eastAsia="en-US"/>
        </w:rPr>
        <w:tab/>
        <w:t>Gli strumenti finanziari: nozione.</w:t>
      </w:r>
    </w:p>
    <w:p w14:paraId="40232A95" w14:textId="77777777" w:rsidR="00D635DE" w:rsidRPr="00EA0BB9" w:rsidRDefault="00D635DE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>–</w:t>
      </w:r>
      <w:r w:rsidRPr="00EA0BB9">
        <w:rPr>
          <w:rFonts w:eastAsia="Calibri"/>
          <w:szCs w:val="22"/>
          <w:lang w:eastAsia="en-US"/>
        </w:rPr>
        <w:tab/>
        <w:t>La rilevazione e la valutazione delle diverse categorie di strumenti finanziari.</w:t>
      </w:r>
    </w:p>
    <w:p w14:paraId="20257F41" w14:textId="77777777" w:rsidR="00D635DE" w:rsidRDefault="00D635DE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>–</w:t>
      </w:r>
      <w:r w:rsidRPr="00EA0BB9">
        <w:rPr>
          <w:rFonts w:eastAsia="Calibri"/>
          <w:szCs w:val="22"/>
          <w:lang w:eastAsia="en-US"/>
        </w:rPr>
        <w:tab/>
      </w:r>
      <w:r w:rsidRPr="00EA0BB9">
        <w:rPr>
          <w:rFonts w:eastAsia="Calibri"/>
          <w:i/>
          <w:szCs w:val="22"/>
          <w:lang w:eastAsia="en-US"/>
        </w:rPr>
        <w:t xml:space="preserve">Fair </w:t>
      </w:r>
      <w:proofErr w:type="spellStart"/>
      <w:r w:rsidRPr="00EA0BB9">
        <w:rPr>
          <w:rFonts w:eastAsia="Calibri"/>
          <w:i/>
          <w:szCs w:val="22"/>
          <w:lang w:eastAsia="en-US"/>
        </w:rPr>
        <w:t>value</w:t>
      </w:r>
      <w:proofErr w:type="spellEnd"/>
      <w:r w:rsidRPr="00EA0BB9">
        <w:rPr>
          <w:rFonts w:eastAsia="Calibri"/>
          <w:i/>
          <w:szCs w:val="22"/>
          <w:lang w:eastAsia="en-US"/>
        </w:rPr>
        <w:t xml:space="preserve"> </w:t>
      </w:r>
      <w:r w:rsidRPr="00EA0BB9">
        <w:rPr>
          <w:rFonts w:eastAsia="Calibri"/>
          <w:szCs w:val="22"/>
          <w:lang w:eastAsia="en-US"/>
        </w:rPr>
        <w:t>e</w:t>
      </w:r>
      <w:r w:rsidRPr="00EA0BB9">
        <w:rPr>
          <w:rFonts w:eastAsia="Calibri"/>
          <w:i/>
          <w:szCs w:val="22"/>
          <w:lang w:eastAsia="en-US"/>
        </w:rPr>
        <w:t xml:space="preserve"> impairment test</w:t>
      </w:r>
      <w:r w:rsidRPr="00EA0BB9">
        <w:rPr>
          <w:rFonts w:eastAsia="Calibri"/>
          <w:szCs w:val="22"/>
          <w:lang w:eastAsia="en-US"/>
        </w:rPr>
        <w:t xml:space="preserve"> degli strumenti finanziari.</w:t>
      </w:r>
    </w:p>
    <w:p w14:paraId="72A795B4" w14:textId="4870FF08" w:rsidR="00FD2604" w:rsidRDefault="00FD2604" w:rsidP="00301998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>–</w:t>
      </w:r>
      <w:r>
        <w:rPr>
          <w:rFonts w:eastAsia="Calibri"/>
          <w:szCs w:val="22"/>
          <w:lang w:eastAsia="en-US"/>
        </w:rPr>
        <w:tab/>
        <w:t xml:space="preserve">La rappresentazione dei contratti di </w:t>
      </w:r>
      <w:r w:rsidRPr="006320A7">
        <w:rPr>
          <w:rFonts w:eastAsia="Calibri"/>
          <w:i/>
          <w:iCs/>
          <w:szCs w:val="22"/>
          <w:lang w:eastAsia="en-US"/>
        </w:rPr>
        <w:t>leasing</w:t>
      </w:r>
      <w:r>
        <w:rPr>
          <w:rFonts w:eastAsia="Calibri"/>
          <w:szCs w:val="22"/>
          <w:lang w:eastAsia="en-US"/>
        </w:rPr>
        <w:t>.</w:t>
      </w:r>
    </w:p>
    <w:p w14:paraId="7907F049" w14:textId="77777777" w:rsidR="00942221" w:rsidRPr="00EA0BB9" w:rsidRDefault="00942221" w:rsidP="00942221">
      <w:pPr>
        <w:tabs>
          <w:tab w:val="left" w:pos="426"/>
        </w:tabs>
        <w:spacing w:before="120" w:line="240" w:lineRule="exact"/>
        <w:ind w:left="284" w:hanging="284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6</w:t>
      </w:r>
      <w:r w:rsidRPr="00EA0BB9">
        <w:rPr>
          <w:rFonts w:eastAsia="Calibri"/>
          <w:szCs w:val="22"/>
          <w:lang w:eastAsia="en-US"/>
        </w:rPr>
        <w:t>.</w:t>
      </w:r>
      <w:r w:rsidRPr="00EA0BB9">
        <w:rPr>
          <w:rFonts w:eastAsia="Calibri"/>
          <w:szCs w:val="22"/>
          <w:lang w:eastAsia="en-US"/>
        </w:rPr>
        <w:tab/>
      </w:r>
      <w:r w:rsidRPr="00EA0BB9">
        <w:rPr>
          <w:rFonts w:eastAsia="Calibri"/>
          <w:i/>
          <w:szCs w:val="22"/>
          <w:lang w:eastAsia="en-US"/>
        </w:rPr>
        <w:t xml:space="preserve">La </w:t>
      </w:r>
      <w:r>
        <w:rPr>
          <w:rFonts w:eastAsia="Calibri"/>
          <w:i/>
          <w:szCs w:val="22"/>
          <w:lang w:eastAsia="en-US"/>
        </w:rPr>
        <w:t>lettura e l’interpretazione del bilancio consolidato</w:t>
      </w:r>
      <w:r w:rsidRPr="00EA0BB9">
        <w:rPr>
          <w:rFonts w:eastAsia="Calibri"/>
          <w:i/>
          <w:szCs w:val="22"/>
          <w:lang w:eastAsia="en-US"/>
        </w:rPr>
        <w:t>.</w:t>
      </w:r>
    </w:p>
    <w:p w14:paraId="409A14CF" w14:textId="77777777" w:rsidR="00942221" w:rsidRDefault="00942221" w:rsidP="00942221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>–</w:t>
      </w:r>
      <w:r w:rsidRPr="00EA0BB9"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>Un modello di interpretazione dello stato di salute del gruppo</w:t>
      </w:r>
      <w:r w:rsidRPr="00EA0BB9">
        <w:rPr>
          <w:rFonts w:eastAsia="Calibri"/>
          <w:szCs w:val="22"/>
          <w:lang w:eastAsia="en-US"/>
        </w:rPr>
        <w:t>.</w:t>
      </w:r>
    </w:p>
    <w:p w14:paraId="22DDE931" w14:textId="77777777" w:rsidR="0086114B" w:rsidRDefault="00942221" w:rsidP="00942221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eastAsia="en-US"/>
        </w:rPr>
      </w:pPr>
      <w:r w:rsidRPr="001852D0">
        <w:rPr>
          <w:rFonts w:eastAsia="Calibri"/>
          <w:szCs w:val="22"/>
          <w:lang w:eastAsia="en-US"/>
        </w:rPr>
        <w:t>–</w:t>
      </w:r>
      <w:r w:rsidRPr="001852D0">
        <w:rPr>
          <w:rFonts w:eastAsia="Calibri"/>
          <w:szCs w:val="22"/>
          <w:lang w:eastAsia="en-US"/>
        </w:rPr>
        <w:tab/>
      </w:r>
      <w:r w:rsidR="0086114B">
        <w:rPr>
          <w:rFonts w:eastAsia="Calibri"/>
          <w:szCs w:val="22"/>
          <w:lang w:eastAsia="en-US"/>
        </w:rPr>
        <w:t xml:space="preserve">Dal bilancio consolidato al </w:t>
      </w:r>
      <w:proofErr w:type="spellStart"/>
      <w:r w:rsidR="0086114B" w:rsidRPr="006B10C7">
        <w:rPr>
          <w:rFonts w:eastAsia="Calibri"/>
          <w:i/>
          <w:szCs w:val="22"/>
          <w:lang w:eastAsia="en-US"/>
        </w:rPr>
        <w:t>segmental</w:t>
      </w:r>
      <w:proofErr w:type="spellEnd"/>
      <w:r w:rsidR="0086114B" w:rsidRPr="006B10C7">
        <w:rPr>
          <w:rFonts w:eastAsia="Calibri"/>
          <w:i/>
          <w:szCs w:val="22"/>
          <w:lang w:eastAsia="en-US"/>
        </w:rPr>
        <w:t xml:space="preserve"> reporting</w:t>
      </w:r>
      <w:r w:rsidR="0086114B" w:rsidRPr="00EA0BB9">
        <w:rPr>
          <w:rFonts w:eastAsia="Calibri"/>
          <w:szCs w:val="22"/>
          <w:lang w:eastAsia="en-US"/>
        </w:rPr>
        <w:t>.</w:t>
      </w:r>
    </w:p>
    <w:p w14:paraId="721D1F70" w14:textId="3363B9BF" w:rsidR="00942221" w:rsidRPr="001852D0" w:rsidRDefault="0086114B" w:rsidP="006320A7">
      <w:pPr>
        <w:tabs>
          <w:tab w:val="left" w:pos="426"/>
        </w:tabs>
        <w:spacing w:line="240" w:lineRule="exact"/>
        <w:rPr>
          <w:rFonts w:eastAsia="Calibri"/>
          <w:szCs w:val="22"/>
          <w:lang w:eastAsia="en-US"/>
        </w:rPr>
      </w:pPr>
      <w:r w:rsidRPr="001852D0">
        <w:rPr>
          <w:rFonts w:eastAsia="Calibri"/>
          <w:szCs w:val="22"/>
          <w:lang w:eastAsia="en-US"/>
        </w:rPr>
        <w:t>–</w:t>
      </w:r>
      <w:r w:rsidRPr="001852D0">
        <w:rPr>
          <w:rFonts w:eastAsia="Calibri"/>
          <w:szCs w:val="22"/>
          <w:lang w:eastAsia="en-US"/>
        </w:rPr>
        <w:tab/>
      </w:r>
      <w:r w:rsidR="00942221" w:rsidRPr="001852D0">
        <w:rPr>
          <w:rFonts w:eastAsia="Calibri"/>
          <w:szCs w:val="22"/>
          <w:lang w:eastAsia="en-US"/>
        </w:rPr>
        <w:t>Gaap-</w:t>
      </w:r>
      <w:proofErr w:type="spellStart"/>
      <w:r w:rsidR="00942221" w:rsidRPr="001852D0">
        <w:rPr>
          <w:rFonts w:eastAsia="Calibri"/>
          <w:szCs w:val="22"/>
          <w:lang w:eastAsia="en-US"/>
        </w:rPr>
        <w:t>measures</w:t>
      </w:r>
      <w:proofErr w:type="spellEnd"/>
      <w:r w:rsidR="00942221" w:rsidRPr="001852D0">
        <w:rPr>
          <w:rFonts w:eastAsia="Calibri"/>
          <w:szCs w:val="22"/>
          <w:lang w:eastAsia="en-US"/>
        </w:rPr>
        <w:t xml:space="preserve">, non-Gaap </w:t>
      </w:r>
      <w:proofErr w:type="spellStart"/>
      <w:r w:rsidR="00942221" w:rsidRPr="001852D0">
        <w:rPr>
          <w:rFonts w:eastAsia="Calibri"/>
          <w:szCs w:val="22"/>
          <w:lang w:eastAsia="en-US"/>
        </w:rPr>
        <w:t>measures</w:t>
      </w:r>
      <w:proofErr w:type="spellEnd"/>
      <w:r w:rsidR="00E04345" w:rsidRPr="001852D0">
        <w:rPr>
          <w:rFonts w:eastAsia="Calibri"/>
          <w:szCs w:val="22"/>
          <w:lang w:eastAsia="en-US"/>
        </w:rPr>
        <w:t xml:space="preserve"> e performance di gruppo.</w:t>
      </w:r>
    </w:p>
    <w:p w14:paraId="624C0E83" w14:textId="69EB8957" w:rsidR="00942221" w:rsidRDefault="00942221" w:rsidP="00942221">
      <w:pPr>
        <w:tabs>
          <w:tab w:val="left" w:pos="426"/>
        </w:tabs>
        <w:spacing w:line="240" w:lineRule="exact"/>
        <w:ind w:left="284" w:hanging="284"/>
        <w:rPr>
          <w:rFonts w:eastAsia="Calibri"/>
          <w:szCs w:val="22"/>
          <w:lang w:eastAsia="en-US"/>
        </w:rPr>
      </w:pPr>
      <w:r w:rsidRPr="00EA0BB9">
        <w:rPr>
          <w:rFonts w:eastAsia="Calibri"/>
          <w:szCs w:val="22"/>
          <w:lang w:eastAsia="en-US"/>
        </w:rPr>
        <w:t>–</w:t>
      </w:r>
      <w:r w:rsidRPr="00EA0BB9">
        <w:rPr>
          <w:rFonts w:eastAsia="Calibri"/>
          <w:szCs w:val="22"/>
          <w:lang w:eastAsia="en-US"/>
        </w:rPr>
        <w:tab/>
      </w:r>
      <w:r w:rsidR="0086114B">
        <w:rPr>
          <w:rFonts w:eastAsia="Calibri"/>
          <w:szCs w:val="22"/>
          <w:lang w:eastAsia="en-US"/>
        </w:rPr>
        <w:t xml:space="preserve">Informativa finanziaria ed </w:t>
      </w:r>
      <w:r w:rsidR="0086114B" w:rsidRPr="00316DCB">
        <w:rPr>
          <w:rFonts w:eastAsia="Calibri"/>
          <w:i/>
          <w:iCs/>
          <w:szCs w:val="22"/>
          <w:lang w:eastAsia="en-US"/>
        </w:rPr>
        <w:t xml:space="preserve">equity </w:t>
      </w:r>
      <w:proofErr w:type="spellStart"/>
      <w:r w:rsidR="0086114B" w:rsidRPr="00316DCB">
        <w:rPr>
          <w:rFonts w:eastAsia="Calibri"/>
          <w:i/>
          <w:iCs/>
          <w:szCs w:val="22"/>
          <w:lang w:eastAsia="en-US"/>
        </w:rPr>
        <w:t>research</w:t>
      </w:r>
      <w:proofErr w:type="spellEnd"/>
      <w:r w:rsidR="00316DCB">
        <w:rPr>
          <w:rFonts w:eastAsia="Calibri"/>
          <w:szCs w:val="22"/>
          <w:lang w:eastAsia="en-US"/>
        </w:rPr>
        <w:t>.</w:t>
      </w:r>
    </w:p>
    <w:p w14:paraId="77DB61EE" w14:textId="50EFC22D" w:rsidR="00D635DE" w:rsidRPr="00301998" w:rsidRDefault="00D635DE" w:rsidP="0030199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CA6F73">
        <w:rPr>
          <w:rStyle w:val="Rimandonotaapidipagina"/>
          <w:b/>
          <w:i/>
          <w:sz w:val="18"/>
        </w:rPr>
        <w:footnoteReference w:id="1"/>
      </w:r>
    </w:p>
    <w:p w14:paraId="39019F21" w14:textId="48C4F2DD" w:rsidR="00A40634" w:rsidRPr="006320A7" w:rsidRDefault="00A40634" w:rsidP="006320A7">
      <w:pPr>
        <w:pStyle w:val="Testo1"/>
        <w:ind w:left="0" w:firstLine="0"/>
      </w:pPr>
      <w:r w:rsidRPr="006320A7">
        <w:t xml:space="preserve">Il libro di testo sarà scelto tra una delle due seguenti </w:t>
      </w:r>
      <w:r>
        <w:t>opzioni, indicate dal docente all’inzio del corso:</w:t>
      </w:r>
    </w:p>
    <w:p w14:paraId="78BAD268" w14:textId="2B5FAAE1" w:rsidR="00A40634" w:rsidRDefault="00A40634" w:rsidP="00FA0A37">
      <w:pPr>
        <w:pStyle w:val="Testo1"/>
        <w:spacing w:before="0" w:line="240" w:lineRule="atLeast"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>I  opzione</w:t>
      </w:r>
    </w:p>
    <w:p w14:paraId="3648D229" w14:textId="02B57BBD" w:rsidR="00D635DE" w:rsidRPr="00FA0A37" w:rsidRDefault="00D635DE" w:rsidP="00FA0A37">
      <w:pPr>
        <w:pStyle w:val="Testo1"/>
        <w:spacing w:before="0" w:line="240" w:lineRule="atLeast"/>
        <w:rPr>
          <w:spacing w:val="-5"/>
        </w:rPr>
      </w:pPr>
      <w:r w:rsidRPr="00FA0A37">
        <w:rPr>
          <w:smallCaps/>
          <w:spacing w:val="-5"/>
          <w:sz w:val="16"/>
        </w:rPr>
        <w:t>A. Lionzo,</w:t>
      </w:r>
      <w:r w:rsidRPr="00FA0A37">
        <w:rPr>
          <w:i/>
          <w:spacing w:val="-5"/>
        </w:rPr>
        <w:t xml:space="preserve"> </w:t>
      </w:r>
      <w:r w:rsidRPr="00A40634">
        <w:rPr>
          <w:i/>
          <w:spacing w:val="-5"/>
        </w:rPr>
        <w:t>Il bilancio consolidato secondo i principi contabili internazionali – Assunti, principi e logica valutativa</w:t>
      </w:r>
      <w:r w:rsidRPr="00FA0A37">
        <w:rPr>
          <w:spacing w:val="-5"/>
        </w:rPr>
        <w:t xml:space="preserve">, in </w:t>
      </w:r>
      <w:r w:rsidRPr="00301998">
        <w:rPr>
          <w:smallCaps/>
          <w:spacing w:val="-5"/>
          <w:sz w:val="16"/>
        </w:rPr>
        <w:t>A. Palma</w:t>
      </w:r>
      <w:r w:rsidRPr="00FA0A37">
        <w:rPr>
          <w:spacing w:val="-5"/>
        </w:rPr>
        <w:t xml:space="preserve"> (a cura di), </w:t>
      </w:r>
      <w:r w:rsidRPr="00301998">
        <w:rPr>
          <w:i/>
          <w:iCs/>
          <w:spacing w:val="-5"/>
        </w:rPr>
        <w:t>Il bilancio di esercizio. Profili aziendali, giuridici e principi contabili</w:t>
      </w:r>
      <w:r w:rsidRPr="00FA0A37">
        <w:rPr>
          <w:iCs/>
          <w:spacing w:val="-5"/>
        </w:rPr>
        <w:t xml:space="preserve">, </w:t>
      </w:r>
      <w:r w:rsidRPr="00FA0A37">
        <w:rPr>
          <w:spacing w:val="-5"/>
        </w:rPr>
        <w:t xml:space="preserve">Giuffrè, Milano, 2016, cap. VIII. </w:t>
      </w:r>
      <w:r w:rsidR="00CA6F73">
        <w:rPr>
          <w:spacing w:val="-5"/>
        </w:rPr>
        <w:t xml:space="preserve"> </w:t>
      </w:r>
      <w:hyperlink r:id="rId8" w:history="1">
        <w:r w:rsidR="00CA6F73" w:rsidRPr="00CA6F7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2B33B8C" w14:textId="18E8F830" w:rsidR="00D635DE" w:rsidRDefault="00D635DE" w:rsidP="00FA0A37">
      <w:pPr>
        <w:pStyle w:val="Testo1"/>
        <w:spacing w:before="0" w:line="240" w:lineRule="atLeast"/>
        <w:rPr>
          <w:spacing w:val="-5"/>
        </w:rPr>
      </w:pPr>
      <w:r w:rsidRPr="00FA0A37">
        <w:rPr>
          <w:smallCaps/>
          <w:spacing w:val="-5"/>
          <w:sz w:val="16"/>
        </w:rPr>
        <w:t>F. Dezzani-P.P. Biancone-D. Busso,</w:t>
      </w:r>
      <w:r w:rsidRPr="00FA0A37">
        <w:rPr>
          <w:i/>
          <w:spacing w:val="-5"/>
        </w:rPr>
        <w:t xml:space="preserve"> IAS/IFRS,</w:t>
      </w:r>
      <w:r w:rsidRPr="00FA0A37">
        <w:rPr>
          <w:spacing w:val="-5"/>
        </w:rPr>
        <w:t xml:space="preserve"> </w:t>
      </w:r>
      <w:r w:rsidRPr="00FA0A37">
        <w:rPr>
          <w:rFonts w:eastAsia="Calibri"/>
          <w:spacing w:val="-5"/>
          <w:lang w:eastAsia="en-US"/>
        </w:rPr>
        <w:t xml:space="preserve">Ipsoa, </w:t>
      </w:r>
      <w:r w:rsidR="00DD452B">
        <w:rPr>
          <w:rFonts w:eastAsia="Calibri"/>
          <w:spacing w:val="-5"/>
          <w:lang w:eastAsia="en-US"/>
        </w:rPr>
        <w:t>VI</w:t>
      </w:r>
      <w:r w:rsidRPr="00FA0A37">
        <w:rPr>
          <w:rFonts w:eastAsia="Calibri"/>
          <w:spacing w:val="-5"/>
          <w:lang w:eastAsia="en-US"/>
        </w:rPr>
        <w:t xml:space="preserve"> edizione, 20</w:t>
      </w:r>
      <w:r w:rsidR="00DD452B">
        <w:rPr>
          <w:rFonts w:eastAsia="Calibri"/>
          <w:spacing w:val="-5"/>
          <w:lang w:eastAsia="en-US"/>
        </w:rPr>
        <w:t>22</w:t>
      </w:r>
      <w:r w:rsidRPr="00FA0A37">
        <w:rPr>
          <w:spacing w:val="-5"/>
        </w:rPr>
        <w:t xml:space="preserve">. </w:t>
      </w:r>
      <w:r w:rsidR="00CA6F73">
        <w:rPr>
          <w:spacing w:val="-5"/>
        </w:rPr>
        <w:t xml:space="preserve"> </w:t>
      </w:r>
      <w:hyperlink r:id="rId9" w:history="1">
        <w:r w:rsidR="00CA6F73" w:rsidRPr="00CA6F7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4EE9E0B" w14:textId="0EBB04CE" w:rsidR="00A40634" w:rsidRPr="006320A7" w:rsidRDefault="00A40634" w:rsidP="006320A7">
      <w:pPr>
        <w:pStyle w:val="Testo1"/>
        <w:spacing w:before="0" w:line="240" w:lineRule="atLeast"/>
        <w:rPr>
          <w:smallCaps/>
          <w:spacing w:val="-5"/>
          <w:sz w:val="16"/>
        </w:rPr>
      </w:pPr>
      <w:r w:rsidRPr="006320A7">
        <w:rPr>
          <w:smallCaps/>
          <w:spacing w:val="-5"/>
          <w:sz w:val="16"/>
        </w:rPr>
        <w:t xml:space="preserve">II </w:t>
      </w:r>
      <w:r>
        <w:rPr>
          <w:smallCaps/>
          <w:spacing w:val="-5"/>
          <w:sz w:val="16"/>
        </w:rPr>
        <w:t xml:space="preserve">opzione </w:t>
      </w:r>
    </w:p>
    <w:p w14:paraId="1DF40AC8" w14:textId="4A620C6E" w:rsidR="00A40634" w:rsidRPr="006320A7" w:rsidRDefault="00A40634" w:rsidP="006320A7">
      <w:pPr>
        <w:pStyle w:val="Testo1"/>
        <w:spacing w:before="0" w:line="240" w:lineRule="atLeast"/>
        <w:rPr>
          <w:i/>
          <w:spacing w:val="-5"/>
        </w:rPr>
      </w:pPr>
      <w:r w:rsidRPr="006320A7">
        <w:rPr>
          <w:smallCaps/>
          <w:spacing w:val="-5"/>
          <w:sz w:val="16"/>
        </w:rPr>
        <w:t>A. Incollingo, R. Macchioni (</w:t>
      </w:r>
      <w:r w:rsidRPr="00A40634">
        <w:rPr>
          <w:iCs/>
          <w:spacing w:val="-5"/>
        </w:rPr>
        <w:t>a cura di),</w:t>
      </w:r>
      <w:r w:rsidRPr="006320A7">
        <w:rPr>
          <w:i/>
          <w:spacing w:val="-5"/>
        </w:rPr>
        <w:t xml:space="preserve"> Il bilancio secondo i principi contabili internazional IAS/IFRS, </w:t>
      </w:r>
      <w:r w:rsidRPr="00A40634">
        <w:rPr>
          <w:iCs/>
          <w:spacing w:val="-5"/>
        </w:rPr>
        <w:t>V edizione, Giappichelli, 2023.</w:t>
      </w:r>
      <w:r w:rsidR="00CA6F73">
        <w:rPr>
          <w:iCs/>
          <w:spacing w:val="-5"/>
        </w:rPr>
        <w:t xml:space="preserve"> </w:t>
      </w:r>
      <w:hyperlink r:id="rId10" w:history="1">
        <w:r w:rsidR="00CA6F73" w:rsidRPr="00CA6F7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1003CBB" w14:textId="77777777" w:rsidR="00D635DE" w:rsidRDefault="00D635DE" w:rsidP="00B44F4B">
      <w:pPr>
        <w:pStyle w:val="Testo1"/>
        <w:ind w:left="0" w:firstLine="0"/>
      </w:pPr>
      <w:r w:rsidRPr="00EA0BB9">
        <w:t>Ulteriori riferimenti bibliografici nonché indicazioni sul materiale di studio da utilizzare, tra cui gli IAS/IFRS e i Documenti OIC, verranno forniti agli studenti durante lo svolgimento del corso.</w:t>
      </w:r>
    </w:p>
    <w:p w14:paraId="1126A7BB" w14:textId="77777777" w:rsidR="00D635DE" w:rsidRDefault="00D635DE" w:rsidP="00D635D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2FD6397" w14:textId="77777777" w:rsidR="00D635DE" w:rsidRPr="00D635DE" w:rsidRDefault="00D635DE" w:rsidP="00D635DE">
      <w:pPr>
        <w:pStyle w:val="Testo2"/>
      </w:pPr>
      <w:r w:rsidRPr="00D635DE">
        <w:t>Le lezioni in aula, caratterizzate da una didattica interattiva e dallo svolgimento di alcuni casi aziendali, saranno integrate da un ciclo di esercitazioni aventi ad oggetto la tecnica di redazione del bilancio consolidato di gruppo.</w:t>
      </w:r>
    </w:p>
    <w:p w14:paraId="1DE2433E" w14:textId="77777777" w:rsidR="00D635DE" w:rsidRPr="00D635DE" w:rsidRDefault="00D635DE" w:rsidP="00D635DE">
      <w:pPr>
        <w:pStyle w:val="Testo2"/>
      </w:pPr>
      <w:r w:rsidRPr="00D635DE">
        <w:t>È altresì previsto l’intervento in aula di qualificati testimoni aziendali.</w:t>
      </w:r>
    </w:p>
    <w:p w14:paraId="0C3A5B85" w14:textId="77777777" w:rsidR="00D635DE" w:rsidRPr="00D635DE" w:rsidRDefault="00D635DE" w:rsidP="00D635DE">
      <w:pPr>
        <w:pStyle w:val="Testo2"/>
      </w:pPr>
      <w:r w:rsidRPr="00D635DE">
        <w:t>Le lezioni e le esercitazioni sono svolte con l’ausilio di slides e di altro materiale di supporto. Le slides sono messe a disposizione degli studenti attraverso la piattaforma Blackboard prima di ciascuna lezione</w:t>
      </w:r>
    </w:p>
    <w:p w14:paraId="35D5C76C" w14:textId="77777777" w:rsidR="00D635DE" w:rsidRPr="00D635DE" w:rsidRDefault="00D635DE" w:rsidP="00D635DE">
      <w:pPr>
        <w:pStyle w:val="Testo2"/>
      </w:pPr>
      <w:r w:rsidRPr="00D635DE">
        <w:t>La frequenza costante alle lezioni e alle esercitazioni costituisce condizione indispensabile per l'idonea preparazione dello studente.</w:t>
      </w:r>
    </w:p>
    <w:p w14:paraId="6550465C" w14:textId="77777777" w:rsidR="00D635DE" w:rsidRDefault="00D635DE" w:rsidP="00D635D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4CFE4CC" w14:textId="391309E5" w:rsidR="00D635DE" w:rsidRPr="00E755EB" w:rsidRDefault="00D635DE" w:rsidP="00D4123C">
      <w:pPr>
        <w:pStyle w:val="Testo2"/>
      </w:pPr>
      <w:r w:rsidRPr="00E755EB">
        <w:t>La prova d’esame è in forma scritta</w:t>
      </w:r>
      <w:r w:rsidR="00D4123C">
        <w:t xml:space="preserve">, </w:t>
      </w:r>
      <w:r w:rsidR="00D4123C" w:rsidRPr="00146D14">
        <w:rPr>
          <w:rFonts w:ascii="Times New Roman" w:hAnsi="Times New Roman"/>
        </w:rPr>
        <w:t xml:space="preserve">articolata in </w:t>
      </w:r>
      <w:r w:rsidR="00D4123C">
        <w:rPr>
          <w:rFonts w:ascii="Times New Roman" w:hAnsi="Times New Roman"/>
        </w:rPr>
        <w:t xml:space="preserve">due </w:t>
      </w:r>
      <w:r w:rsidR="00D4123C" w:rsidRPr="00146D14">
        <w:rPr>
          <w:rFonts w:ascii="Times New Roman" w:hAnsi="Times New Roman"/>
        </w:rPr>
        <w:t xml:space="preserve">parti: la prima parte è strutturata in domande a risposte multiple (di carattre sia teorico-generale sia applicativo-quantitativo) relative ai punti </w:t>
      </w:r>
      <w:r w:rsidR="00D4123C" w:rsidRPr="00E755EB">
        <w:t>ai punti 1, 3, 4</w:t>
      </w:r>
      <w:r w:rsidR="00D4123C">
        <w:t>, 5</w:t>
      </w:r>
      <w:r w:rsidR="00D4123C" w:rsidRPr="00E755EB">
        <w:t xml:space="preserve"> e </w:t>
      </w:r>
      <w:r w:rsidR="00D4123C">
        <w:t>6</w:t>
      </w:r>
      <w:r w:rsidR="00D4123C" w:rsidRPr="00E755EB">
        <w:t xml:space="preserve"> del programma</w:t>
      </w:r>
      <w:r w:rsidR="00D4123C" w:rsidRPr="00146D14">
        <w:rPr>
          <w:rFonts w:ascii="Times New Roman" w:hAnsi="Times New Roman"/>
        </w:rPr>
        <w:t>; la seconda parte è costituita da un esercizio</w:t>
      </w:r>
      <w:r w:rsidR="00D4123C">
        <w:rPr>
          <w:rFonts w:ascii="Times New Roman" w:hAnsi="Times New Roman"/>
        </w:rPr>
        <w:t xml:space="preserve"> </w:t>
      </w:r>
      <w:r w:rsidR="00D4123C" w:rsidRPr="00E755EB">
        <w:t>attinente la costruzione del bilancio consilidato di gruppo</w:t>
      </w:r>
      <w:r w:rsidR="00D4123C" w:rsidRPr="00146D14">
        <w:rPr>
          <w:rFonts w:ascii="Times New Roman" w:hAnsi="Times New Roman"/>
        </w:rPr>
        <w:t>. Lo studente supera la prova se consegue un punteggio di almeno 18/30 in ciascuna delle parti dell’esame.</w:t>
      </w:r>
      <w:r w:rsidR="00D4123C">
        <w:rPr>
          <w:rFonts w:ascii="Times New Roman" w:hAnsi="Times New Roman"/>
        </w:rPr>
        <w:t xml:space="preserve"> </w:t>
      </w:r>
    </w:p>
    <w:p w14:paraId="668962DD" w14:textId="1C609C39" w:rsidR="00D635DE" w:rsidRDefault="00D635DE" w:rsidP="00D635DE">
      <w:pPr>
        <w:pStyle w:val="Testo2"/>
      </w:pPr>
      <w:r w:rsidRPr="00E755EB">
        <w:t>La prova orale può essere: a) richiesta dallo studente che ha superato la prova scritta finale, nel caso in cui ritenga che la propria preparazione non sia riflessa dagli esiti della prova; b) richiesta dai docenti</w:t>
      </w:r>
      <w:r w:rsidR="00D4123C">
        <w:t>, anche in totale sostituzione della prova scritta suindicata</w:t>
      </w:r>
      <w:r w:rsidRPr="00E755EB">
        <w:t>.</w:t>
      </w:r>
    </w:p>
    <w:p w14:paraId="3FA2A2C2" w14:textId="77777777" w:rsidR="00D635DE" w:rsidRDefault="00D635DE" w:rsidP="00D635D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D4ACA96" w14:textId="77777777" w:rsidR="00B44F4B" w:rsidRDefault="00B44F4B" w:rsidP="002C14CF">
      <w:pPr>
        <w:pStyle w:val="Testo2"/>
      </w:pPr>
      <w:r w:rsidRPr="000159A0">
        <w:lastRenderedPageBreak/>
        <w:t xml:space="preserve">Lo </w:t>
      </w:r>
      <w:r>
        <w:t>s</w:t>
      </w:r>
      <w:r w:rsidRPr="000159A0">
        <w:t>tudente do</w:t>
      </w:r>
      <w:r>
        <w:t>v</w:t>
      </w:r>
      <w:r w:rsidRPr="000159A0">
        <w:t>rebbe</w:t>
      </w:r>
      <w:r>
        <w:t xml:space="preserve"> aver maturato conoscenze adeguate in merito a:</w:t>
      </w:r>
    </w:p>
    <w:p w14:paraId="194ABBBB" w14:textId="77777777" w:rsidR="00B44F4B" w:rsidRDefault="00B44F4B" w:rsidP="002C14CF">
      <w:pPr>
        <w:pStyle w:val="Testo2"/>
      </w:pPr>
      <w:r>
        <w:t>–</w:t>
      </w:r>
      <w:r>
        <w:tab/>
        <w:t>i principi fondamentali della gestione aziendale (sotto il profilo istituzionale, strategico e organizzativo);</w:t>
      </w:r>
    </w:p>
    <w:p w14:paraId="6310A33D" w14:textId="77777777" w:rsidR="00B44F4B" w:rsidRDefault="00B44F4B" w:rsidP="002C14CF">
      <w:pPr>
        <w:pStyle w:val="Testo2"/>
      </w:pPr>
      <w:r>
        <w:t>–</w:t>
      </w:r>
      <w:r>
        <w:tab/>
        <w:t>il modello contabile, ossia il processo di rilevazione dei valori secondo il metodo della partita doppia;</w:t>
      </w:r>
    </w:p>
    <w:p w14:paraId="10533EBE" w14:textId="77777777" w:rsidR="00B44F4B" w:rsidRDefault="00B44F4B" w:rsidP="002C14CF">
      <w:pPr>
        <w:pStyle w:val="Testo2"/>
      </w:pPr>
      <w:r>
        <w:t>–</w:t>
      </w:r>
      <w:r>
        <w:tab/>
        <w:t>il modello economico-finanziario sotteso alla redazione delle sintesi di fine esercizio;</w:t>
      </w:r>
    </w:p>
    <w:p w14:paraId="649AC1DC" w14:textId="77777777" w:rsidR="00B44F4B" w:rsidRDefault="00B44F4B" w:rsidP="002C14CF">
      <w:pPr>
        <w:pStyle w:val="Testo2"/>
      </w:pPr>
      <w:r>
        <w:t>–</w:t>
      </w:r>
      <w:r>
        <w:tab/>
        <w:t>i principali profili valutativi funzionali alla composizione del bilancio di esercizio;</w:t>
      </w:r>
    </w:p>
    <w:p w14:paraId="200BEFAA" w14:textId="77777777" w:rsidR="00B44F4B" w:rsidRDefault="00B44F4B" w:rsidP="002C14CF">
      <w:pPr>
        <w:pStyle w:val="Testo2"/>
      </w:pPr>
      <w:r>
        <w:t>–</w:t>
      </w:r>
      <w:r>
        <w:tab/>
        <w:t>la lettura, l’interpretazione e l’analisi economico-finanziaria del bilancio d’impresa.</w:t>
      </w:r>
    </w:p>
    <w:p w14:paraId="688CC953" w14:textId="7628FA03" w:rsidR="00B44F4B" w:rsidRPr="00F33FD7" w:rsidRDefault="00F33FD7" w:rsidP="002C14CF">
      <w:pPr>
        <w:pStyle w:val="Testo2"/>
        <w:spacing w:before="120"/>
        <w:rPr>
          <w:i/>
        </w:rPr>
      </w:pPr>
      <w:r>
        <w:rPr>
          <w:i/>
        </w:rPr>
        <w:t>O</w:t>
      </w:r>
      <w:r w:rsidRPr="00F33FD7">
        <w:rPr>
          <w:i/>
        </w:rPr>
        <w:t xml:space="preserve">rario e luogo di ricevimento </w:t>
      </w:r>
    </w:p>
    <w:p w14:paraId="7C145668" w14:textId="77777777" w:rsidR="00B44F4B" w:rsidRPr="00FE2541" w:rsidRDefault="00B44F4B" w:rsidP="002C14CF">
      <w:pPr>
        <w:pStyle w:val="Testo2"/>
      </w:pPr>
      <w:r w:rsidRPr="00FE2541">
        <w:t>Orari e luogo di ricevimento sono comunicati nella pagina web dei docenti.</w:t>
      </w:r>
    </w:p>
    <w:sectPr w:rsidR="00B44F4B" w:rsidRPr="00FE254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4900F" w14:textId="77777777" w:rsidR="00CA6F73" w:rsidRDefault="00CA6F73" w:rsidP="00CA6F73">
      <w:pPr>
        <w:spacing w:line="240" w:lineRule="auto"/>
      </w:pPr>
      <w:r>
        <w:separator/>
      </w:r>
    </w:p>
  </w:endnote>
  <w:endnote w:type="continuationSeparator" w:id="0">
    <w:p w14:paraId="7514E235" w14:textId="77777777" w:rsidR="00CA6F73" w:rsidRDefault="00CA6F73" w:rsidP="00CA6F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CC1EA" w14:textId="77777777" w:rsidR="00CA6F73" w:rsidRDefault="00CA6F73" w:rsidP="00CA6F73">
      <w:pPr>
        <w:spacing w:line="240" w:lineRule="auto"/>
      </w:pPr>
      <w:r>
        <w:separator/>
      </w:r>
    </w:p>
  </w:footnote>
  <w:footnote w:type="continuationSeparator" w:id="0">
    <w:p w14:paraId="6BB4BB00" w14:textId="77777777" w:rsidR="00CA6F73" w:rsidRDefault="00CA6F73" w:rsidP="00CA6F73">
      <w:pPr>
        <w:spacing w:line="240" w:lineRule="auto"/>
      </w:pPr>
      <w:r>
        <w:continuationSeparator/>
      </w:r>
    </w:p>
  </w:footnote>
  <w:footnote w:id="1">
    <w:p w14:paraId="18F911F7" w14:textId="1CEB25EF" w:rsidR="00CA6F73" w:rsidRDefault="00CA6F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85644"/>
    <w:multiLevelType w:val="hybridMultilevel"/>
    <w:tmpl w:val="7B7A9560"/>
    <w:lvl w:ilvl="0" w:tplc="AB2C6B44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321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C6"/>
    <w:rsid w:val="000131F5"/>
    <w:rsid w:val="00022F89"/>
    <w:rsid w:val="000C7A4F"/>
    <w:rsid w:val="001152F1"/>
    <w:rsid w:val="001852D0"/>
    <w:rsid w:val="00187B99"/>
    <w:rsid w:val="001F1EAE"/>
    <w:rsid w:val="002014DD"/>
    <w:rsid w:val="0023636A"/>
    <w:rsid w:val="002A2FC5"/>
    <w:rsid w:val="002C0584"/>
    <w:rsid w:val="002C14CF"/>
    <w:rsid w:val="002D5E17"/>
    <w:rsid w:val="00301998"/>
    <w:rsid w:val="00316DCB"/>
    <w:rsid w:val="003631C9"/>
    <w:rsid w:val="003B0664"/>
    <w:rsid w:val="004301D4"/>
    <w:rsid w:val="00454D25"/>
    <w:rsid w:val="004D1217"/>
    <w:rsid w:val="004D6008"/>
    <w:rsid w:val="00561DBE"/>
    <w:rsid w:val="005B029A"/>
    <w:rsid w:val="005B12AF"/>
    <w:rsid w:val="006320A7"/>
    <w:rsid w:val="00632429"/>
    <w:rsid w:val="00640794"/>
    <w:rsid w:val="006F1772"/>
    <w:rsid w:val="0086114B"/>
    <w:rsid w:val="008942E7"/>
    <w:rsid w:val="008A1204"/>
    <w:rsid w:val="00900CCA"/>
    <w:rsid w:val="00923BDF"/>
    <w:rsid w:val="00924B77"/>
    <w:rsid w:val="00940DA2"/>
    <w:rsid w:val="00942221"/>
    <w:rsid w:val="00973F98"/>
    <w:rsid w:val="009A2F4D"/>
    <w:rsid w:val="009C4F02"/>
    <w:rsid w:val="009E055C"/>
    <w:rsid w:val="00A40634"/>
    <w:rsid w:val="00A74F6F"/>
    <w:rsid w:val="00AD0ED2"/>
    <w:rsid w:val="00AD7557"/>
    <w:rsid w:val="00B44F4B"/>
    <w:rsid w:val="00B50C5D"/>
    <w:rsid w:val="00B51253"/>
    <w:rsid w:val="00B525CC"/>
    <w:rsid w:val="00B679E5"/>
    <w:rsid w:val="00BC7AFA"/>
    <w:rsid w:val="00C306E5"/>
    <w:rsid w:val="00CA6F73"/>
    <w:rsid w:val="00CE6FB7"/>
    <w:rsid w:val="00D404F2"/>
    <w:rsid w:val="00D4123C"/>
    <w:rsid w:val="00D5572B"/>
    <w:rsid w:val="00D635DE"/>
    <w:rsid w:val="00D65D7F"/>
    <w:rsid w:val="00DD452B"/>
    <w:rsid w:val="00DE0860"/>
    <w:rsid w:val="00DE7B1A"/>
    <w:rsid w:val="00E04345"/>
    <w:rsid w:val="00E30006"/>
    <w:rsid w:val="00E607E6"/>
    <w:rsid w:val="00EB4987"/>
    <w:rsid w:val="00EC26C5"/>
    <w:rsid w:val="00ED56C6"/>
    <w:rsid w:val="00F33FD7"/>
    <w:rsid w:val="00FA0A37"/>
    <w:rsid w:val="00FD2604"/>
    <w:rsid w:val="00FD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1E7CA"/>
  <w15:chartTrackingRefBased/>
  <w15:docId w15:val="{751EC049-6400-4332-BE1F-32480EED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D635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635DE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rsid w:val="00E0434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04345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0434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043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04345"/>
    <w:rPr>
      <w:b/>
      <w:bCs/>
    </w:rPr>
  </w:style>
  <w:style w:type="paragraph" w:styleId="Revisione">
    <w:name w:val="Revision"/>
    <w:hidden/>
    <w:uiPriority w:val="99"/>
    <w:semiHidden/>
    <w:rsid w:val="0086114B"/>
    <w:rPr>
      <w:szCs w:val="24"/>
    </w:rPr>
  </w:style>
  <w:style w:type="paragraph" w:styleId="Paragrafoelenco">
    <w:name w:val="List Paragraph"/>
    <w:basedOn w:val="Normale"/>
    <w:uiPriority w:val="34"/>
    <w:qFormat/>
    <w:rsid w:val="00B679E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CA6F7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A6F73"/>
  </w:style>
  <w:style w:type="character" w:styleId="Rimandonotaapidipagina">
    <w:name w:val="footnote reference"/>
    <w:basedOn w:val="Carpredefinitoparagrafo"/>
    <w:rsid w:val="00CA6F73"/>
    <w:rPr>
      <w:vertAlign w:val="superscript"/>
    </w:rPr>
  </w:style>
  <w:style w:type="character" w:styleId="Collegamentoipertestuale">
    <w:name w:val="Hyperlink"/>
    <w:basedOn w:val="Carpredefinitoparagrafo"/>
    <w:rsid w:val="00CA6F7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6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bilancio-desercizio-9788828842354-71216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il-bilancio-secondo-i-principi-contabili-internazionali-ias-ifrs-9788892145931-72305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aolo-p-biancone-donatella-busso-flavio-dezzani/ias-ifrs-9788821775062-67982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D6DF8-5093-4D96-AC5F-A446A6E9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4</Pages>
  <Words>999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2019-05-07T09:40:00Z</cp:lastPrinted>
  <dcterms:created xsi:type="dcterms:W3CDTF">2023-05-16T09:55:00Z</dcterms:created>
  <dcterms:modified xsi:type="dcterms:W3CDTF">2023-06-23T12:12:00Z</dcterms:modified>
</cp:coreProperties>
</file>