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08C5" w14:textId="77777777" w:rsidR="002D5E17" w:rsidRDefault="00D648C8" w:rsidP="002D5E17">
      <w:pPr>
        <w:pStyle w:val="Titolo1"/>
      </w:pPr>
      <w:r w:rsidRPr="00D648C8">
        <w:t>Finanza aziendale (corso avanzato)</w:t>
      </w:r>
    </w:p>
    <w:p w14:paraId="69976320" w14:textId="77777777" w:rsidR="00D648C8" w:rsidRPr="00FD0AA2" w:rsidRDefault="00D648C8" w:rsidP="00A71212">
      <w:pPr>
        <w:pStyle w:val="Titolo2"/>
      </w:pPr>
      <w:r w:rsidRPr="00FD0AA2">
        <w:t>Prof. Ettore Croci; Prof. Gabriele Villa</w:t>
      </w:r>
    </w:p>
    <w:p w14:paraId="6FC2C2AD" w14:textId="77777777" w:rsidR="00A71212" w:rsidRDefault="00A71212" w:rsidP="00A71212">
      <w:pPr>
        <w:spacing w:before="240" w:after="120"/>
        <w:rPr>
          <w:b/>
          <w:sz w:val="18"/>
        </w:rPr>
      </w:pPr>
      <w:r>
        <w:rPr>
          <w:b/>
          <w:i/>
          <w:sz w:val="18"/>
        </w:rPr>
        <w:t>OBIETTIVO DEL CORSO E RISULTATI DI APPRENDIMENTO ATTESI</w:t>
      </w:r>
    </w:p>
    <w:p w14:paraId="1DB350F3" w14:textId="77777777" w:rsidR="00A71212" w:rsidRPr="00FD0AA2" w:rsidRDefault="00A71212" w:rsidP="00A71212">
      <w:r w:rsidRPr="00FD0AA2">
        <w:t>L'obiettivo è fornire gli strumenti di analisi delle decisioni di politica finanziaria delle imprese. Il corso non si limita agli aspetti teorici ma vuole mostrare come gli elementi teorici presentati nel corso possano essere utilizzati per analizzare casi aziendali tratti dall'esperienza di società italiane quotate.</w:t>
      </w:r>
    </w:p>
    <w:p w14:paraId="0335358D" w14:textId="77777777" w:rsidR="00A71212" w:rsidRPr="00FD0AA2" w:rsidRDefault="00A71212" w:rsidP="00A71212">
      <w:r w:rsidRPr="00FD0AA2">
        <w:t>Il corso sarà strutturato secondo un approccio multidisciplinare: per ognuno degli argomenti che verranno trattati saranno esposti anzitutto gli aspetti teorici delle decisioni di impresa; verranno inoltre esaminati i risultati delle ricerche empiriche in materia, al fine di discutere le motivazioni e le conseguenze delle decisioni effettuate, così come osservate nella concreta operatività delle imprese; saranno infine affrontati ed analizzati gli aspetti contabili e giuridici che regolano, disciplinano ed influenzano la concreta attuazione delle diverse politiche di finanziamento, avvalendosi anche della discussione di casi aziendali specifici.</w:t>
      </w:r>
    </w:p>
    <w:p w14:paraId="2B540956" w14:textId="77777777" w:rsidR="00D648C8" w:rsidRDefault="00A71212" w:rsidP="00A71212">
      <w:r w:rsidRPr="00FD0AA2">
        <w:t>Al termine dell'insegnamento, lo studente sarà in grado di valutare un’impresa ed individuare le determinanti principali del valore. Inoltre, lo studente sarà in grado di scegliere il metodo di valutazione in funzione delle caratteristiche e della situazione dell’impresa.</w:t>
      </w:r>
    </w:p>
    <w:p w14:paraId="51F6FB0A" w14:textId="77777777" w:rsidR="00A71212" w:rsidRPr="00FD0AA2" w:rsidRDefault="00A71212" w:rsidP="00A71212">
      <w:pPr>
        <w:tabs>
          <w:tab w:val="clear" w:pos="284"/>
        </w:tabs>
        <w:spacing w:before="240" w:after="120"/>
        <w:rPr>
          <w:b/>
          <w:sz w:val="18"/>
          <w:szCs w:val="20"/>
        </w:rPr>
      </w:pPr>
      <w:r w:rsidRPr="00FD0AA2">
        <w:rPr>
          <w:b/>
          <w:i/>
          <w:sz w:val="18"/>
          <w:szCs w:val="20"/>
        </w:rPr>
        <w:t>PROGRAMMA DEL CORSO</w:t>
      </w:r>
    </w:p>
    <w:p w14:paraId="0B099477" w14:textId="77777777" w:rsidR="00A71212" w:rsidRPr="00FD0AA2" w:rsidRDefault="00A71212" w:rsidP="00A71212">
      <w:pPr>
        <w:tabs>
          <w:tab w:val="clear" w:pos="284"/>
        </w:tabs>
        <w:ind w:left="284" w:hanging="284"/>
        <w:rPr>
          <w:szCs w:val="20"/>
        </w:rPr>
      </w:pPr>
      <w:r w:rsidRPr="00FD0AA2">
        <w:rPr>
          <w:szCs w:val="20"/>
        </w:rPr>
        <w:t>Il corso affronterà le seguenti aree tematiche:</w:t>
      </w:r>
    </w:p>
    <w:p w14:paraId="099146F1" w14:textId="77777777" w:rsidR="00A71212" w:rsidRPr="00FD0AA2" w:rsidRDefault="00A71212" w:rsidP="00A71212">
      <w:pPr>
        <w:tabs>
          <w:tab w:val="clear" w:pos="284"/>
        </w:tabs>
        <w:ind w:left="284" w:hanging="284"/>
        <w:rPr>
          <w:szCs w:val="20"/>
        </w:rPr>
      </w:pPr>
      <w:r w:rsidRPr="00FD0AA2">
        <w:rPr>
          <w:szCs w:val="20"/>
        </w:rPr>
        <w:t>1.</w:t>
      </w:r>
      <w:r w:rsidRPr="00FD0AA2">
        <w:rPr>
          <w:szCs w:val="20"/>
        </w:rPr>
        <w:tab/>
        <w:t>la struttura finanziaria e il costo del capitale;</w:t>
      </w:r>
    </w:p>
    <w:p w14:paraId="255B3763" w14:textId="77777777" w:rsidR="00A71212" w:rsidRPr="00FD0AA2" w:rsidRDefault="00A71212" w:rsidP="00A71212">
      <w:pPr>
        <w:tabs>
          <w:tab w:val="clear" w:pos="284"/>
        </w:tabs>
        <w:ind w:left="284" w:hanging="284"/>
        <w:rPr>
          <w:szCs w:val="20"/>
        </w:rPr>
      </w:pPr>
      <w:r w:rsidRPr="00FD0AA2">
        <w:rPr>
          <w:szCs w:val="20"/>
        </w:rPr>
        <w:t>2.</w:t>
      </w:r>
      <w:r w:rsidRPr="00FD0AA2">
        <w:rPr>
          <w:szCs w:val="20"/>
        </w:rPr>
        <w:tab/>
        <w:t>le valutazioni d’azienda;</w:t>
      </w:r>
    </w:p>
    <w:p w14:paraId="37688E68" w14:textId="77777777" w:rsidR="00A71212" w:rsidRPr="00FD0AA2" w:rsidRDefault="00A71212" w:rsidP="00A71212">
      <w:pPr>
        <w:tabs>
          <w:tab w:val="clear" w:pos="284"/>
        </w:tabs>
        <w:ind w:left="284" w:hanging="284"/>
        <w:rPr>
          <w:szCs w:val="20"/>
        </w:rPr>
      </w:pPr>
      <w:r w:rsidRPr="00FD0AA2">
        <w:rPr>
          <w:szCs w:val="20"/>
        </w:rPr>
        <w:t>3.</w:t>
      </w:r>
      <w:r w:rsidRPr="00FD0AA2">
        <w:rPr>
          <w:szCs w:val="20"/>
        </w:rPr>
        <w:tab/>
        <w:t>l’indebitamento: l’impatto del debito sul valore d’impresa; le operazioni ad alta leva finanziaria, i Leveraged Buy-Out;</w:t>
      </w:r>
    </w:p>
    <w:p w14:paraId="412C0386" w14:textId="77777777" w:rsidR="00A71212" w:rsidRPr="00FD0AA2" w:rsidRDefault="00A71212" w:rsidP="00A71212">
      <w:pPr>
        <w:tabs>
          <w:tab w:val="clear" w:pos="284"/>
        </w:tabs>
        <w:ind w:left="284" w:hanging="284"/>
        <w:rPr>
          <w:szCs w:val="20"/>
        </w:rPr>
      </w:pPr>
      <w:r w:rsidRPr="00FD0AA2">
        <w:rPr>
          <w:szCs w:val="20"/>
        </w:rPr>
        <w:t>4.</w:t>
      </w:r>
      <w:r w:rsidRPr="00FD0AA2">
        <w:rPr>
          <w:szCs w:val="20"/>
        </w:rPr>
        <w:tab/>
        <w:t>il dissesto finanziario: procedure fallimentari giudiziali, accordi stragiudiziali, ristrutturazioni aziendali;</w:t>
      </w:r>
    </w:p>
    <w:p w14:paraId="508FFA0E" w14:textId="77777777" w:rsidR="00A71212" w:rsidRDefault="00A71212" w:rsidP="001B716B">
      <w:pPr>
        <w:ind w:left="284" w:hanging="284"/>
        <w:rPr>
          <w:szCs w:val="20"/>
        </w:rPr>
      </w:pPr>
      <w:r w:rsidRPr="00FD0AA2">
        <w:rPr>
          <w:szCs w:val="20"/>
        </w:rPr>
        <w:t>5.</w:t>
      </w:r>
      <w:r w:rsidRPr="00FD0AA2">
        <w:rPr>
          <w:szCs w:val="20"/>
        </w:rPr>
        <w:tab/>
        <w:t>il ricorso al mercato del capitale da parte di società quotate: la ricapitalizzazione, la riduzione della leva finanziaria, l’uso di strumenti finanziari derivati (obbligazioni convertibili, warrant).</w:t>
      </w:r>
    </w:p>
    <w:p w14:paraId="3E78C4C7" w14:textId="18675359" w:rsidR="00A71212" w:rsidRPr="00EA7AB8" w:rsidRDefault="00A71212" w:rsidP="00EA7AB8">
      <w:pPr>
        <w:tabs>
          <w:tab w:val="clear" w:pos="284"/>
        </w:tabs>
        <w:spacing w:before="240" w:after="120"/>
        <w:rPr>
          <w:b/>
          <w:i/>
          <w:sz w:val="18"/>
          <w:szCs w:val="20"/>
        </w:rPr>
      </w:pPr>
      <w:r w:rsidRPr="00EA7AB8">
        <w:rPr>
          <w:b/>
          <w:i/>
          <w:sz w:val="18"/>
          <w:szCs w:val="20"/>
        </w:rPr>
        <w:t>BIBLIOGRAFIA</w:t>
      </w:r>
      <w:r w:rsidR="00C37D48">
        <w:rPr>
          <w:rStyle w:val="Rimandonotaapidipagina"/>
          <w:b/>
          <w:i/>
          <w:sz w:val="18"/>
          <w:szCs w:val="20"/>
        </w:rPr>
        <w:footnoteReference w:id="1"/>
      </w:r>
    </w:p>
    <w:p w14:paraId="3A21CA07" w14:textId="77777777" w:rsidR="00A71212" w:rsidRPr="00FD0AA2" w:rsidRDefault="00A71212" w:rsidP="001B716B">
      <w:pPr>
        <w:pStyle w:val="Testo1"/>
      </w:pPr>
      <w:r w:rsidRPr="00FD0AA2">
        <w:lastRenderedPageBreak/>
        <w:t>Il corso è orientato all'analisi e alla discussione dei casi aziendali. Il materiale per lo svolgimento dei casi sarà messo a disposizione durante il corso sul sito Blackboard.</w:t>
      </w:r>
    </w:p>
    <w:p w14:paraId="3D50502D" w14:textId="77777777" w:rsidR="001B716B" w:rsidRPr="00FD0AA2" w:rsidRDefault="00A71212" w:rsidP="001B716B">
      <w:pPr>
        <w:pStyle w:val="Testo1"/>
      </w:pPr>
      <w:r w:rsidRPr="00FD0AA2">
        <w:t>Le nozioni utili per la preparazione e svolgimento dei casi sono contenute nei seguenti libri:</w:t>
      </w:r>
    </w:p>
    <w:p w14:paraId="4D209BD3" w14:textId="7472EB3E" w:rsidR="00A71212" w:rsidRPr="00FD0AA2" w:rsidRDefault="00A71212" w:rsidP="00A71212">
      <w:pPr>
        <w:tabs>
          <w:tab w:val="clear" w:pos="284"/>
        </w:tabs>
        <w:spacing w:line="240" w:lineRule="atLeast"/>
        <w:ind w:left="284" w:hanging="284"/>
        <w:rPr>
          <w:rFonts w:ascii="Times" w:hAnsi="Times"/>
          <w:noProof/>
          <w:spacing w:val="-5"/>
          <w:sz w:val="18"/>
          <w:szCs w:val="20"/>
          <w:lang w:val="en-US"/>
        </w:rPr>
      </w:pPr>
      <w:r w:rsidRPr="00FD0AA2">
        <w:rPr>
          <w:rFonts w:ascii="Times" w:hAnsi="Times"/>
          <w:smallCaps/>
          <w:noProof/>
          <w:spacing w:val="-5"/>
          <w:sz w:val="16"/>
          <w:szCs w:val="20"/>
          <w:lang w:val="en-US"/>
        </w:rPr>
        <w:t>Berk-Demarzo,</w:t>
      </w:r>
      <w:r w:rsidRPr="00FD0AA2">
        <w:rPr>
          <w:rFonts w:ascii="Times" w:hAnsi="Times"/>
          <w:i/>
          <w:noProof/>
          <w:spacing w:val="-5"/>
          <w:sz w:val="18"/>
          <w:szCs w:val="20"/>
          <w:lang w:val="en-US"/>
        </w:rPr>
        <w:t xml:space="preserve"> Corporate Finance,</w:t>
      </w:r>
      <w:r w:rsidRPr="00FD0AA2">
        <w:rPr>
          <w:rFonts w:ascii="Times" w:hAnsi="Times"/>
          <w:noProof/>
          <w:spacing w:val="-5"/>
          <w:sz w:val="18"/>
          <w:szCs w:val="20"/>
          <w:lang w:val="en-US"/>
        </w:rPr>
        <w:t xml:space="preserve"> Pearson International Edition, </w:t>
      </w:r>
      <w:r w:rsidR="003A111E">
        <w:rPr>
          <w:rFonts w:ascii="Times" w:hAnsi="Times"/>
          <w:noProof/>
          <w:spacing w:val="-5"/>
          <w:sz w:val="18"/>
          <w:szCs w:val="20"/>
          <w:lang w:val="en-US"/>
        </w:rPr>
        <w:t>5</w:t>
      </w:r>
      <w:r w:rsidRPr="00FD0AA2">
        <w:rPr>
          <w:rFonts w:ascii="Times" w:hAnsi="Times"/>
          <w:noProof/>
          <w:spacing w:val="-5"/>
          <w:sz w:val="18"/>
          <w:szCs w:val="20"/>
          <w:lang w:val="en-US"/>
        </w:rPr>
        <w:t>th edition</w:t>
      </w:r>
      <w:r w:rsidR="009C1F20">
        <w:rPr>
          <w:rFonts w:ascii="Times" w:hAnsi="Times"/>
          <w:noProof/>
          <w:spacing w:val="-5"/>
          <w:sz w:val="18"/>
          <w:szCs w:val="20"/>
          <w:lang w:val="en-US"/>
        </w:rPr>
        <w:t>, 2020</w:t>
      </w:r>
      <w:r w:rsidRPr="00FD0AA2">
        <w:rPr>
          <w:rFonts w:ascii="Times" w:hAnsi="Times"/>
          <w:noProof/>
          <w:spacing w:val="-5"/>
          <w:sz w:val="18"/>
          <w:szCs w:val="20"/>
          <w:lang w:val="en-US"/>
        </w:rPr>
        <w:t>.</w:t>
      </w:r>
      <w:r w:rsidR="00C37D48">
        <w:rPr>
          <w:rFonts w:ascii="Times" w:hAnsi="Times"/>
          <w:noProof/>
          <w:spacing w:val="-5"/>
          <w:sz w:val="18"/>
          <w:szCs w:val="20"/>
          <w:lang w:val="en-US"/>
        </w:rPr>
        <w:t xml:space="preserve"> </w:t>
      </w:r>
      <w:hyperlink r:id="rId7" w:history="1">
        <w:r w:rsidR="00C37D48" w:rsidRPr="00C37D48">
          <w:rPr>
            <w:rStyle w:val="Collegamentoipertestuale"/>
            <w:i/>
            <w:sz w:val="18"/>
            <w:szCs w:val="18"/>
          </w:rPr>
          <w:t>Acquista da VP</w:t>
        </w:r>
      </w:hyperlink>
    </w:p>
    <w:p w14:paraId="7706C072" w14:textId="777C6669" w:rsidR="00A71212" w:rsidRPr="00FD0AA2" w:rsidRDefault="00A71212" w:rsidP="001B716B">
      <w:pPr>
        <w:tabs>
          <w:tab w:val="clear" w:pos="284"/>
        </w:tabs>
        <w:spacing w:line="240" w:lineRule="atLeast"/>
        <w:ind w:left="284" w:hanging="284"/>
        <w:rPr>
          <w:rFonts w:ascii="Times" w:hAnsi="Times"/>
          <w:noProof/>
          <w:spacing w:val="-5"/>
          <w:sz w:val="18"/>
          <w:szCs w:val="20"/>
          <w:lang w:val="en-US"/>
        </w:rPr>
      </w:pPr>
      <w:r w:rsidRPr="00FD0AA2">
        <w:rPr>
          <w:rFonts w:ascii="Times" w:hAnsi="Times"/>
          <w:smallCaps/>
          <w:noProof/>
          <w:spacing w:val="-5"/>
          <w:sz w:val="16"/>
          <w:szCs w:val="20"/>
          <w:lang w:val="en-US"/>
        </w:rPr>
        <w:t xml:space="preserve">Phalippou, </w:t>
      </w:r>
      <w:r w:rsidRPr="00FD0AA2">
        <w:rPr>
          <w:rFonts w:ascii="Times" w:hAnsi="Times"/>
          <w:i/>
          <w:noProof/>
          <w:spacing w:val="-5"/>
          <w:sz w:val="18"/>
          <w:szCs w:val="20"/>
          <w:lang w:val="en-US"/>
        </w:rPr>
        <w:t>Private Equity Laid Bare</w:t>
      </w:r>
      <w:r w:rsidRPr="00FD0AA2">
        <w:rPr>
          <w:rFonts w:ascii="Times" w:hAnsi="Times"/>
          <w:smallCaps/>
          <w:noProof/>
          <w:spacing w:val="-5"/>
          <w:sz w:val="16"/>
          <w:szCs w:val="20"/>
          <w:lang w:val="en-US"/>
        </w:rPr>
        <w:t xml:space="preserve">, </w:t>
      </w:r>
      <w:r w:rsidRPr="00FD0AA2">
        <w:rPr>
          <w:rFonts w:ascii="Times" w:hAnsi="Times"/>
          <w:noProof/>
          <w:spacing w:val="-5"/>
          <w:sz w:val="18"/>
          <w:szCs w:val="20"/>
          <w:lang w:val="en-US"/>
        </w:rPr>
        <w:t>Amazon,</w:t>
      </w:r>
      <w:r w:rsidRPr="00FD0AA2">
        <w:rPr>
          <w:rFonts w:ascii="Times" w:hAnsi="Times"/>
          <w:smallCaps/>
          <w:noProof/>
          <w:spacing w:val="-5"/>
          <w:sz w:val="16"/>
          <w:szCs w:val="20"/>
          <w:lang w:val="en-US"/>
        </w:rPr>
        <w:t xml:space="preserve"> </w:t>
      </w:r>
      <w:r w:rsidRPr="001B716B">
        <w:rPr>
          <w:rFonts w:ascii="Times" w:hAnsi="Times"/>
          <w:smallCaps/>
          <w:noProof/>
          <w:spacing w:val="-5"/>
          <w:sz w:val="18"/>
          <w:szCs w:val="18"/>
          <w:lang w:val="en-US"/>
        </w:rPr>
        <w:t>20</w:t>
      </w:r>
      <w:r w:rsidR="00A40189">
        <w:rPr>
          <w:rFonts w:ascii="Times" w:hAnsi="Times"/>
          <w:smallCaps/>
          <w:noProof/>
          <w:spacing w:val="-5"/>
          <w:sz w:val="18"/>
          <w:szCs w:val="18"/>
          <w:lang w:val="en-US"/>
        </w:rPr>
        <w:t>21</w:t>
      </w:r>
      <w:r w:rsidRPr="001B716B">
        <w:rPr>
          <w:rFonts w:ascii="Times" w:hAnsi="Times"/>
          <w:smallCaps/>
          <w:noProof/>
          <w:spacing w:val="-5"/>
          <w:sz w:val="18"/>
          <w:szCs w:val="18"/>
          <w:lang w:val="en-US"/>
        </w:rPr>
        <w:t>.</w:t>
      </w:r>
    </w:p>
    <w:p w14:paraId="5911CA9A" w14:textId="3EB26DAE" w:rsidR="00A71212" w:rsidRPr="00D2394A" w:rsidRDefault="00A71212" w:rsidP="001B716B">
      <w:pPr>
        <w:tabs>
          <w:tab w:val="clear" w:pos="284"/>
        </w:tabs>
        <w:spacing w:line="240" w:lineRule="atLeast"/>
        <w:ind w:left="284" w:hanging="284"/>
        <w:rPr>
          <w:rFonts w:ascii="Times" w:hAnsi="Times"/>
          <w:noProof/>
          <w:spacing w:val="-5"/>
          <w:sz w:val="18"/>
          <w:szCs w:val="20"/>
          <w:lang w:val="en-US"/>
        </w:rPr>
      </w:pPr>
      <w:r w:rsidRPr="00D2394A">
        <w:rPr>
          <w:rFonts w:ascii="Times" w:hAnsi="Times"/>
          <w:smallCaps/>
          <w:noProof/>
          <w:spacing w:val="-5"/>
          <w:sz w:val="16"/>
          <w:szCs w:val="20"/>
          <w:lang w:val="en-US"/>
        </w:rPr>
        <w:t xml:space="preserve">Titman-Martin, </w:t>
      </w:r>
      <w:r w:rsidRPr="00D2394A">
        <w:rPr>
          <w:rFonts w:ascii="Times" w:hAnsi="Times"/>
          <w:i/>
          <w:noProof/>
          <w:spacing w:val="-5"/>
          <w:sz w:val="18"/>
          <w:szCs w:val="20"/>
          <w:lang w:val="en-US"/>
        </w:rPr>
        <w:t>Valuation,</w:t>
      </w:r>
      <w:r w:rsidRPr="00D2394A">
        <w:rPr>
          <w:rFonts w:ascii="Times" w:hAnsi="Times"/>
          <w:noProof/>
          <w:spacing w:val="-5"/>
          <w:sz w:val="18"/>
          <w:szCs w:val="20"/>
          <w:lang w:val="en-US"/>
        </w:rPr>
        <w:t xml:space="preserve"> Pearson International Edition, 3rd edition, 2016</w:t>
      </w:r>
      <w:r w:rsidR="001B716B" w:rsidRPr="00D2394A">
        <w:rPr>
          <w:rFonts w:ascii="Times" w:hAnsi="Times"/>
          <w:noProof/>
          <w:spacing w:val="-5"/>
          <w:sz w:val="18"/>
          <w:szCs w:val="20"/>
          <w:lang w:val="en-US"/>
        </w:rPr>
        <w:t>.</w:t>
      </w:r>
      <w:r w:rsidR="00C37D48">
        <w:rPr>
          <w:rFonts w:ascii="Times" w:hAnsi="Times"/>
          <w:noProof/>
          <w:spacing w:val="-5"/>
          <w:sz w:val="18"/>
          <w:szCs w:val="20"/>
          <w:lang w:val="en-US"/>
        </w:rPr>
        <w:t xml:space="preserve"> </w:t>
      </w:r>
      <w:hyperlink r:id="rId8" w:history="1">
        <w:r w:rsidR="00C37D48" w:rsidRPr="00C37D48">
          <w:rPr>
            <w:rStyle w:val="Collegamentoipertestuale"/>
            <w:i/>
            <w:sz w:val="18"/>
            <w:szCs w:val="18"/>
          </w:rPr>
          <w:t>Acquista da VP</w:t>
        </w:r>
      </w:hyperlink>
    </w:p>
    <w:p w14:paraId="1A965315" w14:textId="77777777" w:rsidR="00A71212" w:rsidRPr="00FD0AA2" w:rsidRDefault="00A71212" w:rsidP="001B716B">
      <w:pPr>
        <w:spacing w:before="120" w:line="240" w:lineRule="atLeast"/>
        <w:ind w:left="284" w:hanging="284"/>
        <w:rPr>
          <w:rFonts w:ascii="Times" w:hAnsi="Times"/>
          <w:noProof/>
          <w:sz w:val="18"/>
          <w:szCs w:val="20"/>
        </w:rPr>
      </w:pPr>
      <w:r w:rsidRPr="00FD0AA2">
        <w:rPr>
          <w:rFonts w:ascii="Times" w:hAnsi="Times"/>
          <w:noProof/>
          <w:sz w:val="18"/>
          <w:szCs w:val="20"/>
        </w:rPr>
        <w:t>Il seguente libro è anch’esso raccomandato:</w:t>
      </w:r>
    </w:p>
    <w:p w14:paraId="13FE1E01" w14:textId="77777777" w:rsidR="00A71212" w:rsidRPr="00FD0AA2" w:rsidRDefault="00A71212" w:rsidP="001B716B">
      <w:pPr>
        <w:tabs>
          <w:tab w:val="clear" w:pos="284"/>
        </w:tabs>
        <w:spacing w:line="240" w:lineRule="atLeast"/>
        <w:ind w:left="284" w:hanging="284"/>
        <w:rPr>
          <w:rFonts w:ascii="Times" w:hAnsi="Times"/>
          <w:noProof/>
          <w:spacing w:val="-5"/>
          <w:sz w:val="18"/>
          <w:szCs w:val="20"/>
          <w:lang w:val="en-US"/>
        </w:rPr>
      </w:pPr>
      <w:r w:rsidRPr="00FD0AA2">
        <w:rPr>
          <w:rFonts w:ascii="Times" w:hAnsi="Times"/>
          <w:smallCaps/>
          <w:noProof/>
          <w:spacing w:val="-5"/>
          <w:sz w:val="16"/>
          <w:szCs w:val="20"/>
          <w:lang w:val="en-US"/>
        </w:rPr>
        <w:t>Rosembaum-Pearl,</w:t>
      </w:r>
      <w:r w:rsidRPr="00FD0AA2">
        <w:rPr>
          <w:rFonts w:ascii="Times" w:hAnsi="Times"/>
          <w:i/>
          <w:noProof/>
          <w:spacing w:val="-5"/>
          <w:sz w:val="18"/>
          <w:szCs w:val="20"/>
          <w:lang w:val="en-US"/>
        </w:rPr>
        <w:t xml:space="preserve"> Investment Banking,</w:t>
      </w:r>
      <w:r w:rsidRPr="00FD0AA2">
        <w:rPr>
          <w:rFonts w:ascii="Times" w:hAnsi="Times"/>
          <w:noProof/>
          <w:spacing w:val="-5"/>
          <w:sz w:val="18"/>
          <w:szCs w:val="20"/>
          <w:lang w:val="en-US"/>
        </w:rPr>
        <w:t xml:space="preserve"> Universitary Editon, Wiley, 2013.</w:t>
      </w:r>
    </w:p>
    <w:p w14:paraId="16D1C9E2" w14:textId="77777777" w:rsidR="00A71212" w:rsidRDefault="001B716B" w:rsidP="001B716B">
      <w:pPr>
        <w:spacing w:before="240" w:after="120" w:line="220" w:lineRule="exact"/>
        <w:rPr>
          <w:b/>
          <w:i/>
          <w:sz w:val="18"/>
        </w:rPr>
      </w:pPr>
      <w:r>
        <w:rPr>
          <w:b/>
          <w:i/>
          <w:sz w:val="18"/>
        </w:rPr>
        <w:t>DIDATTICA DEL CORSO</w:t>
      </w:r>
    </w:p>
    <w:p w14:paraId="093A9B74" w14:textId="77777777" w:rsidR="001B716B" w:rsidRPr="00FD0AA2" w:rsidRDefault="001B716B" w:rsidP="001B716B">
      <w:pPr>
        <w:pStyle w:val="Testo2"/>
      </w:pPr>
      <w:r w:rsidRPr="00FD0AA2">
        <w:t>La didattica avverrà mediante lezioni frontali, nel corso delle quali saranno altresì sviluppati i casi aziendali.</w:t>
      </w:r>
    </w:p>
    <w:p w14:paraId="286A5508" w14:textId="77777777" w:rsidR="001B716B" w:rsidRDefault="001B716B" w:rsidP="001B716B">
      <w:pPr>
        <w:spacing w:before="240" w:after="120" w:line="220" w:lineRule="exact"/>
        <w:rPr>
          <w:b/>
          <w:i/>
          <w:sz w:val="18"/>
        </w:rPr>
      </w:pPr>
      <w:r>
        <w:rPr>
          <w:b/>
          <w:i/>
          <w:sz w:val="18"/>
        </w:rPr>
        <w:t>METODO E CRITERI DI VALUTAZIONE</w:t>
      </w:r>
    </w:p>
    <w:p w14:paraId="124CEDF9" w14:textId="77777777" w:rsidR="001B716B" w:rsidRPr="00FD0AA2" w:rsidRDefault="001B716B" w:rsidP="001B716B">
      <w:pPr>
        <w:pStyle w:val="Testo2"/>
      </w:pPr>
      <w:r w:rsidRPr="00FD0AA2">
        <w:t>Il corso è stato pensato per una partecipazione attiva che sarà alla base della valutazione finale.</w:t>
      </w:r>
    </w:p>
    <w:p w14:paraId="2C5229AC" w14:textId="3DDAB493" w:rsidR="001B716B" w:rsidRPr="00FD0AA2" w:rsidRDefault="001B716B" w:rsidP="001B716B">
      <w:pPr>
        <w:pStyle w:val="Testo2"/>
      </w:pPr>
      <w:r w:rsidRPr="00FD0AA2">
        <w:t>Agli studenti frequentanti è data la possibilità di</w:t>
      </w:r>
      <w:r w:rsidR="00EA7AB8">
        <w:t xml:space="preserve"> sostenere l’esame mediante una</w:t>
      </w:r>
      <w:r w:rsidRPr="00FD0AA2">
        <w:t xml:space="preserve"> prova parziale </w:t>
      </w:r>
      <w:r w:rsidR="000727A2">
        <w:t xml:space="preserve">avente oggetto la parte del Prof. Croci </w:t>
      </w:r>
      <w:r w:rsidRPr="00FD0AA2">
        <w:t>(50% del voto finale) e la presentazione di un elaborato avente per oggetto la valutazione di un’azienda, secondo le modalità di seguito illustrate (50% sul voto finale)</w:t>
      </w:r>
      <w:r w:rsidR="000727A2">
        <w:t xml:space="preserve"> per la parte del Prof. Villa</w:t>
      </w:r>
      <w:r w:rsidRPr="00FD0AA2">
        <w:t xml:space="preserve">. La prova parziale consta di </w:t>
      </w:r>
      <w:r w:rsidR="00A40189">
        <w:t>un esercizio numerico (10 punti), una domanda da articolo di quotidiano (10 punti), e 12 domande a scelta multipla (1 punto a domanda)</w:t>
      </w:r>
      <w:r w:rsidRPr="00FD0AA2">
        <w:t>. L’elaborato consiste in un lavoro di gruppo avente per oggetto la valutazione di un’azienda. L’elaborato è costituito da un documento word, di massimo 30 cartelle; marginatura 3 cm ai quattro lati del foglio; interlinea 1. Al documento word vanno allegate, in modo ordinato, le tabelle di dettaglio del lavoro svolto (es. piano economico-finanziario, prospetto analitico dei flussi eccetera). L’elaborato deve essere articolato nelle seguenti sezioni: I. Descrizione dell’azienda; II. Analisi storica; III. Piano economico finanziario (con dettagliata illustrazione delle ipotesi di piano assunte); IV Valutazione.</w:t>
      </w:r>
    </w:p>
    <w:p w14:paraId="67157882" w14:textId="339AE53A" w:rsidR="001B716B" w:rsidRDefault="001B716B" w:rsidP="001B716B">
      <w:pPr>
        <w:pStyle w:val="Testo2"/>
      </w:pPr>
      <w:r w:rsidRPr="00911638">
        <w:t xml:space="preserve">Chi non partecipa attivamente, sosterrà un esame scritto tradizionale </w:t>
      </w:r>
      <w:r w:rsidR="000727A2" w:rsidRPr="00911638">
        <w:t>relativo alla parte del Prof. Croci e dovrà presentare l’elaborato indicato al punto precedente</w:t>
      </w:r>
      <w:r w:rsidR="007D4AF4" w:rsidRPr="00911638">
        <w:t xml:space="preserve"> per la parte del Prof Villa</w:t>
      </w:r>
      <w:r w:rsidRPr="00911638">
        <w:t xml:space="preserve">. L’esame </w:t>
      </w:r>
      <w:r w:rsidR="007D4AF4" w:rsidRPr="00911638">
        <w:t xml:space="preserve">scritto </w:t>
      </w:r>
      <w:r w:rsidRPr="00911638">
        <w:t xml:space="preserve">consta di </w:t>
      </w:r>
      <w:r w:rsidR="00A40189" w:rsidRPr="00FD0AA2">
        <w:t xml:space="preserve">consta di </w:t>
      </w:r>
      <w:r w:rsidR="00A40189">
        <w:t>un esercizio numerico (10 punti), una domanda da articolo di quotidiano (10 punti), e 12 domande a scelta multipla (1 punto a domanda)</w:t>
      </w:r>
      <w:r w:rsidR="000727A2" w:rsidRPr="00911638">
        <w:t>.</w:t>
      </w:r>
      <w:r w:rsidR="007D4AF4" w:rsidRPr="00911638">
        <w:t xml:space="preserve"> L’elaborato dovrà essere consegnato al Prof. Villa prima dell’inizio dell’appello d’esame secondo le modalità che saranno indicate su Blackboard.</w:t>
      </w:r>
      <w:r w:rsidR="007D4AF4">
        <w:t xml:space="preserve"> </w:t>
      </w:r>
    </w:p>
    <w:p w14:paraId="3DBD08F0" w14:textId="77777777" w:rsidR="001B716B" w:rsidRDefault="001B716B" w:rsidP="001B716B">
      <w:pPr>
        <w:spacing w:before="240" w:after="120"/>
        <w:rPr>
          <w:b/>
          <w:i/>
          <w:sz w:val="18"/>
        </w:rPr>
      </w:pPr>
      <w:r>
        <w:rPr>
          <w:b/>
          <w:i/>
          <w:sz w:val="18"/>
        </w:rPr>
        <w:t>AVVERTENZE E PREREQUISITI</w:t>
      </w:r>
    </w:p>
    <w:p w14:paraId="180CC6BE" w14:textId="371104E8" w:rsidR="001B716B" w:rsidRPr="00FD0AA2" w:rsidRDefault="001B716B" w:rsidP="001B716B">
      <w:pPr>
        <w:pStyle w:val="Testo2"/>
        <w:rPr>
          <w:i/>
        </w:rPr>
      </w:pPr>
      <w:bookmarkStart w:id="0" w:name="_Hlk38221458"/>
      <w:r w:rsidRPr="00FD0AA2">
        <w:rPr>
          <w:i/>
        </w:rPr>
        <w:t>Prerequisiti</w:t>
      </w:r>
    </w:p>
    <w:bookmarkEnd w:id="0"/>
    <w:p w14:paraId="3D311B8C" w14:textId="77777777" w:rsidR="001B716B" w:rsidRDefault="001B716B" w:rsidP="001B716B">
      <w:pPr>
        <w:pStyle w:val="Testo2"/>
      </w:pPr>
      <w:r w:rsidRPr="00FD0AA2">
        <w:lastRenderedPageBreak/>
        <w:t>Si assume che gli studenti abbiano una conoscenza dei concetti di un corso base di finanza aziendale (criteri di decisione degli investimenti, relazione rischio rendimento, struttura finanziaria).</w:t>
      </w:r>
    </w:p>
    <w:p w14:paraId="1FFAB05D" w14:textId="77777777" w:rsidR="001B716B" w:rsidRPr="00FD0AA2" w:rsidRDefault="001B716B" w:rsidP="001B716B">
      <w:pPr>
        <w:pStyle w:val="Testo2"/>
        <w:spacing w:before="120"/>
        <w:rPr>
          <w:i/>
        </w:rPr>
      </w:pPr>
      <w:r w:rsidRPr="00FD0AA2">
        <w:rPr>
          <w:i/>
        </w:rPr>
        <w:t>Orario e luogo di ricevimento</w:t>
      </w:r>
    </w:p>
    <w:p w14:paraId="6F4CA5D7" w14:textId="77777777" w:rsidR="001B716B" w:rsidRPr="00FD0AA2" w:rsidRDefault="001B716B" w:rsidP="001B716B">
      <w:pPr>
        <w:pStyle w:val="Testo2"/>
      </w:pPr>
      <w:r w:rsidRPr="00FD0AA2">
        <w:t>I docenti ricevono gli studenti secondo gli orari indicati negli avvisi affissi nelle bacheche di dipartimento e nella pagina web dei docenti.</w:t>
      </w:r>
    </w:p>
    <w:sectPr w:rsidR="001B716B" w:rsidRPr="00FD0A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58F9" w14:textId="77777777" w:rsidR="00C37D48" w:rsidRDefault="00C37D48" w:rsidP="00C37D48">
      <w:pPr>
        <w:spacing w:line="240" w:lineRule="auto"/>
      </w:pPr>
      <w:r>
        <w:separator/>
      </w:r>
    </w:p>
  </w:endnote>
  <w:endnote w:type="continuationSeparator" w:id="0">
    <w:p w14:paraId="2B1D3EF0" w14:textId="77777777" w:rsidR="00C37D48" w:rsidRDefault="00C37D48" w:rsidP="00C37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4C90" w14:textId="77777777" w:rsidR="00C37D48" w:rsidRDefault="00C37D48" w:rsidP="00C37D48">
      <w:pPr>
        <w:spacing w:line="240" w:lineRule="auto"/>
      </w:pPr>
      <w:r>
        <w:separator/>
      </w:r>
    </w:p>
  </w:footnote>
  <w:footnote w:type="continuationSeparator" w:id="0">
    <w:p w14:paraId="289587D6" w14:textId="77777777" w:rsidR="00C37D48" w:rsidRDefault="00C37D48" w:rsidP="00C37D48">
      <w:pPr>
        <w:spacing w:line="240" w:lineRule="auto"/>
      </w:pPr>
      <w:r>
        <w:continuationSeparator/>
      </w:r>
    </w:p>
  </w:footnote>
  <w:footnote w:id="1">
    <w:p w14:paraId="4EF548DC" w14:textId="76327E23" w:rsidR="00C37D48" w:rsidRDefault="00C37D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83"/>
    <w:rsid w:val="00017DA8"/>
    <w:rsid w:val="00025B6C"/>
    <w:rsid w:val="000727A2"/>
    <w:rsid w:val="00187B99"/>
    <w:rsid w:val="001B716B"/>
    <w:rsid w:val="002014DD"/>
    <w:rsid w:val="002D5E17"/>
    <w:rsid w:val="003A111E"/>
    <w:rsid w:val="004D1217"/>
    <w:rsid w:val="004D6008"/>
    <w:rsid w:val="0051481F"/>
    <w:rsid w:val="00640794"/>
    <w:rsid w:val="006F1772"/>
    <w:rsid w:val="007D4AF4"/>
    <w:rsid w:val="008942E7"/>
    <w:rsid w:val="008A1204"/>
    <w:rsid w:val="00900CCA"/>
    <w:rsid w:val="00911638"/>
    <w:rsid w:val="00924B77"/>
    <w:rsid w:val="00940DA2"/>
    <w:rsid w:val="009C1F20"/>
    <w:rsid w:val="009E055C"/>
    <w:rsid w:val="00A26422"/>
    <w:rsid w:val="00A40189"/>
    <w:rsid w:val="00A71212"/>
    <w:rsid w:val="00A74F6F"/>
    <w:rsid w:val="00AD7557"/>
    <w:rsid w:val="00B50C5D"/>
    <w:rsid w:val="00B51253"/>
    <w:rsid w:val="00B525CC"/>
    <w:rsid w:val="00BF3783"/>
    <w:rsid w:val="00C37D48"/>
    <w:rsid w:val="00C77BE9"/>
    <w:rsid w:val="00D2394A"/>
    <w:rsid w:val="00D404F2"/>
    <w:rsid w:val="00D648C8"/>
    <w:rsid w:val="00E607E6"/>
    <w:rsid w:val="00EA7AB8"/>
    <w:rsid w:val="00F63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03884"/>
  <w15:chartTrackingRefBased/>
  <w15:docId w15:val="{2F121BBE-87AD-48F0-937E-1821C79A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48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37D48"/>
    <w:pPr>
      <w:spacing w:line="240" w:lineRule="auto"/>
    </w:pPr>
    <w:rPr>
      <w:szCs w:val="20"/>
    </w:rPr>
  </w:style>
  <w:style w:type="character" w:customStyle="1" w:styleId="TestonotaapidipaginaCarattere">
    <w:name w:val="Testo nota a piè di pagina Carattere"/>
    <w:basedOn w:val="Carpredefinitoparagrafo"/>
    <w:link w:val="Testonotaapidipagina"/>
    <w:rsid w:val="00C37D48"/>
  </w:style>
  <w:style w:type="character" w:styleId="Rimandonotaapidipagina">
    <w:name w:val="footnote reference"/>
    <w:basedOn w:val="Carpredefinitoparagrafo"/>
    <w:rsid w:val="00C37D48"/>
    <w:rPr>
      <w:vertAlign w:val="superscript"/>
    </w:rPr>
  </w:style>
  <w:style w:type="character" w:styleId="Collegamentoipertestuale">
    <w:name w:val="Hyperlink"/>
    <w:basedOn w:val="Carpredefinitoparagrafo"/>
    <w:rsid w:val="00C37D48"/>
    <w:rPr>
      <w:color w:val="0563C1" w:themeColor="hyperlink"/>
      <w:u w:val="single"/>
    </w:rPr>
  </w:style>
  <w:style w:type="character" w:styleId="Menzionenonrisolta">
    <w:name w:val="Unresolved Mention"/>
    <w:basedOn w:val="Carpredefinitoparagrafo"/>
    <w:uiPriority w:val="99"/>
    <w:semiHidden/>
    <w:unhideWhenUsed/>
    <w:rsid w:val="00C3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itman/valuation-9781292022321-673773.html" TargetMode="External"/><Relationship Id="rId3" Type="http://schemas.openxmlformats.org/officeDocument/2006/relationships/settings" Target="settings.xml"/><Relationship Id="rId7" Type="http://schemas.openxmlformats.org/officeDocument/2006/relationships/hyperlink" Target="https://librerie.unicatt.it/scheda-libro/berk-de-marzo/corporate-finance-global-edition-5th-ed-9781292304151-68635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A25B-6154-4E34-AAF8-483C6E52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694</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2023-05-03T08:21:00Z</dcterms:created>
  <dcterms:modified xsi:type="dcterms:W3CDTF">2023-06-26T08:40:00Z</dcterms:modified>
</cp:coreProperties>
</file>