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1DB4" w14:textId="77777777" w:rsidR="00A93F08" w:rsidRPr="006772D2" w:rsidRDefault="00903C01" w:rsidP="00A93F08">
      <w:pPr>
        <w:pStyle w:val="Titolo1"/>
      </w:pPr>
      <w:r w:rsidRPr="006772D2">
        <w:t>Economia monetaria</w:t>
      </w:r>
    </w:p>
    <w:p w14:paraId="4BA54573" w14:textId="77777777" w:rsidR="00A93F08" w:rsidRPr="006772D2" w:rsidRDefault="00A93F08" w:rsidP="00A93F08">
      <w:pPr>
        <w:pStyle w:val="Titolo2"/>
      </w:pPr>
      <w:r w:rsidRPr="006772D2">
        <w:t>Prof. Andrea Boitani; Prof. Rony Hamaui</w:t>
      </w:r>
    </w:p>
    <w:p w14:paraId="1E663C6C" w14:textId="77777777" w:rsidR="00A93F08" w:rsidRPr="006772D2" w:rsidRDefault="00A93F08" w:rsidP="00A93F08">
      <w:pPr>
        <w:spacing w:before="240" w:after="120"/>
        <w:rPr>
          <w:b/>
          <w:sz w:val="18"/>
        </w:rPr>
      </w:pPr>
      <w:r w:rsidRPr="006772D2">
        <w:rPr>
          <w:b/>
          <w:i/>
          <w:sz w:val="18"/>
        </w:rPr>
        <w:t>OBIETTIVO DEL CORSO</w:t>
      </w:r>
      <w:r w:rsidR="000E03C5" w:rsidRPr="006772D2">
        <w:rPr>
          <w:b/>
          <w:i/>
          <w:sz w:val="18"/>
        </w:rPr>
        <w:t xml:space="preserve"> E RISULTATI DI APPRENDIMENTO ATTESI</w:t>
      </w:r>
    </w:p>
    <w:p w14:paraId="5328C770" w14:textId="77777777" w:rsidR="00A93F08" w:rsidRPr="006772D2" w:rsidRDefault="00A93F08" w:rsidP="00A93F08">
      <w:r w:rsidRPr="006772D2">
        <w:t>Il corso è diviso in due moduli. Il primo esplora la teoria contemporanea della politica monetaria, soffermandosi sugli obiettivi, sui vincoli e sugli strumenti a disposizione della Banca Centrale, nonché sui canali di trasmissione della politica, in assenza e in presenza di vincoli di credito. Particolare attenzione viene dedicata ai temi della formazione delle aspettative, della credibilità della politica monetaria, all’indipendenza della Banca Centrale e alla valutazione dell’operato della Banca Centrale Europea.</w:t>
      </w:r>
    </w:p>
    <w:p w14:paraId="5E77E31C" w14:textId="77777777" w:rsidR="00A93F08" w:rsidRPr="006772D2" w:rsidRDefault="00A93F08" w:rsidP="00A93F08">
      <w:r w:rsidRPr="006772D2">
        <w:t>Il secondo modulo fornisce una conoscenza dell’evoluzione del sistema monetario internazionale, della struttura del mercato dei cambi, delle relazioni macroeconomiche che stanno alla base dei principali modelli di determinazione dei tassi di cambio nonché delle tecnicalità (strumenti e strategie) volte all’operatività sui mercati. Il corso ha quindi l’obiettivo di coniugare sia aspetti teorici che dinamiche operative.</w:t>
      </w:r>
    </w:p>
    <w:p w14:paraId="385097B1" w14:textId="64C1D043" w:rsidR="000E03C5" w:rsidRPr="006772D2" w:rsidRDefault="000E03C5" w:rsidP="00A93F08">
      <w:r w:rsidRPr="006772D2">
        <w:t>Al termine dell'insegnamento, lo studente sarà in grado di comprendere: 1) il comportamento delle banche centrali, le motivazioni che stanno alla base di tali comportamenti, il ruolo dei diversi strumenti utilizzati e i potenziali effetti delle politiche messe in campo; 2) il funzionamento del mercato dei cambi, il ruolo dei diversi operatori</w:t>
      </w:r>
      <w:r w:rsidR="00E4028C" w:rsidRPr="006772D2">
        <w:t>,</w:t>
      </w:r>
      <w:r w:rsidRPr="006772D2">
        <w:t xml:space="preserve"> incluse le banche centrali e i governi</w:t>
      </w:r>
      <w:r w:rsidR="00E4028C" w:rsidRPr="006772D2">
        <w:t>,</w:t>
      </w:r>
      <w:r w:rsidRPr="006772D2">
        <w:t xml:space="preserve"> oltre al funzionamento del sistema monetario internazionale </w:t>
      </w:r>
      <w:r w:rsidR="006772D2" w:rsidRPr="006772D2">
        <w:t xml:space="preserve">e il funzionamento dell’unione economica e monetaria </w:t>
      </w:r>
      <w:r w:rsidR="00F82642">
        <w:t>europea.</w:t>
      </w:r>
    </w:p>
    <w:p w14:paraId="2FEBCB0E" w14:textId="77777777" w:rsidR="00A93F08" w:rsidRPr="006772D2" w:rsidRDefault="00A93F08" w:rsidP="00A93F08">
      <w:pPr>
        <w:spacing w:before="240" w:after="120"/>
        <w:rPr>
          <w:b/>
          <w:sz w:val="18"/>
        </w:rPr>
      </w:pPr>
      <w:r w:rsidRPr="006772D2">
        <w:rPr>
          <w:b/>
          <w:i/>
          <w:sz w:val="18"/>
        </w:rPr>
        <w:t>PROGRAMMA DEL CORSO</w:t>
      </w:r>
    </w:p>
    <w:p w14:paraId="03D99AA0" w14:textId="77777777" w:rsidR="00A93F08" w:rsidRPr="00673BBE" w:rsidRDefault="00A93F08" w:rsidP="00903C01">
      <w:pPr>
        <w:spacing w:before="120"/>
        <w:rPr>
          <w:smallCaps/>
        </w:rPr>
      </w:pPr>
      <w:r w:rsidRPr="00673BBE">
        <w:rPr>
          <w:smallCaps/>
        </w:rPr>
        <w:t>I Modulo</w:t>
      </w:r>
    </w:p>
    <w:p w14:paraId="4E0DAAFD" w14:textId="77777777" w:rsidR="00A93F08" w:rsidRPr="006772D2" w:rsidRDefault="00A93F08" w:rsidP="00A93F08">
      <w:r w:rsidRPr="006772D2">
        <w:t>1.</w:t>
      </w:r>
      <w:r w:rsidRPr="006772D2">
        <w:tab/>
      </w:r>
      <w:r w:rsidRPr="006772D2">
        <w:rPr>
          <w:i/>
        </w:rPr>
        <w:t>Formazione delle aspettative e risultati macroeconomici</w:t>
      </w:r>
    </w:p>
    <w:p w14:paraId="7D6594F5" w14:textId="77777777" w:rsidR="00A93F08" w:rsidRPr="006772D2" w:rsidRDefault="00A93F08" w:rsidP="00A93F08">
      <w:bookmarkStart w:id="0" w:name="OLE_LINK1"/>
      <w:r w:rsidRPr="006772D2">
        <w:rPr>
          <w:i/>
        </w:rPr>
        <w:t>–</w:t>
      </w:r>
      <w:r w:rsidRPr="006772D2">
        <w:rPr>
          <w:i/>
        </w:rPr>
        <w:tab/>
      </w:r>
      <w:r w:rsidRPr="006772D2">
        <w:t>Aspettative adattive: aggiustamenti ed errori sistematici.</w:t>
      </w:r>
    </w:p>
    <w:bookmarkEnd w:id="0"/>
    <w:p w14:paraId="3D106E2B" w14:textId="77777777" w:rsidR="00A93F08" w:rsidRPr="006772D2" w:rsidRDefault="00A93F08" w:rsidP="00A93F08">
      <w:r w:rsidRPr="006772D2">
        <w:rPr>
          <w:i/>
        </w:rPr>
        <w:t>–</w:t>
      </w:r>
      <w:r w:rsidRPr="006772D2">
        <w:rPr>
          <w:i/>
        </w:rPr>
        <w:tab/>
      </w:r>
      <w:r w:rsidRPr="006772D2">
        <w:t>Aspettative razionali: definizioni e proprietà.</w:t>
      </w:r>
    </w:p>
    <w:p w14:paraId="3A5F4881" w14:textId="77777777" w:rsidR="00A93F08" w:rsidRPr="006772D2" w:rsidRDefault="00A93F08" w:rsidP="00A93F08">
      <w:r w:rsidRPr="006772D2">
        <w:rPr>
          <w:i/>
        </w:rPr>
        <w:t>–</w:t>
      </w:r>
      <w:r w:rsidRPr="006772D2">
        <w:rPr>
          <w:i/>
        </w:rPr>
        <w:tab/>
      </w:r>
      <w:r w:rsidRPr="006772D2">
        <w:t>Soluzione dei modelli con aspettative razionali.</w:t>
      </w:r>
    </w:p>
    <w:p w14:paraId="746D5161" w14:textId="77777777" w:rsidR="00A93F08" w:rsidRPr="006772D2" w:rsidRDefault="00A93F08" w:rsidP="00A93F08">
      <w:r w:rsidRPr="006772D2">
        <w:rPr>
          <w:i/>
        </w:rPr>
        <w:t>–</w:t>
      </w:r>
      <w:r w:rsidRPr="006772D2">
        <w:rPr>
          <w:i/>
        </w:rPr>
        <w:tab/>
      </w:r>
      <w:r w:rsidRPr="006772D2">
        <w:t>Neutralità della politica monetaria.</w:t>
      </w:r>
    </w:p>
    <w:p w14:paraId="20D7F23F" w14:textId="77777777" w:rsidR="00A93F08" w:rsidRPr="006772D2" w:rsidRDefault="00A93F08" w:rsidP="00A93F08">
      <w:r w:rsidRPr="006772D2">
        <w:rPr>
          <w:i/>
        </w:rPr>
        <w:t>–</w:t>
      </w:r>
      <w:r w:rsidRPr="006772D2">
        <w:rPr>
          <w:i/>
        </w:rPr>
        <w:tab/>
      </w:r>
      <w:r w:rsidRPr="006772D2">
        <w:t>Non-neutralità della politica monetaria e contratti scaglionati.</w:t>
      </w:r>
    </w:p>
    <w:p w14:paraId="1775260B" w14:textId="77777777" w:rsidR="00A93F08" w:rsidRPr="006772D2" w:rsidRDefault="00A93F08" w:rsidP="00A93F08">
      <w:pPr>
        <w:spacing w:before="120"/>
      </w:pPr>
      <w:r w:rsidRPr="006772D2">
        <w:t>2.</w:t>
      </w:r>
      <w:r w:rsidRPr="006772D2">
        <w:tab/>
      </w:r>
      <w:r w:rsidRPr="006772D2">
        <w:rPr>
          <w:i/>
        </w:rPr>
        <w:t>Il modello “standard” per la politica monetaria</w:t>
      </w:r>
    </w:p>
    <w:p w14:paraId="04412E98" w14:textId="77777777" w:rsidR="00A93F08" w:rsidRPr="006772D2" w:rsidRDefault="00A93F08" w:rsidP="00A93F08">
      <w:r w:rsidRPr="006772D2">
        <w:rPr>
          <w:i/>
        </w:rPr>
        <w:t>–</w:t>
      </w:r>
      <w:r w:rsidRPr="006772D2">
        <w:rPr>
          <w:i/>
        </w:rPr>
        <w:tab/>
      </w:r>
      <w:r w:rsidRPr="006772D2">
        <w:t>Il modello IS-AS-MPR base.</w:t>
      </w:r>
    </w:p>
    <w:p w14:paraId="53A53258" w14:textId="77777777" w:rsidR="00A93F08" w:rsidRPr="006772D2" w:rsidRDefault="00A93F08" w:rsidP="00A93F08">
      <w:r w:rsidRPr="006772D2">
        <w:rPr>
          <w:i/>
        </w:rPr>
        <w:t>–</w:t>
      </w:r>
      <w:r w:rsidRPr="006772D2">
        <w:rPr>
          <w:i/>
        </w:rPr>
        <w:tab/>
      </w:r>
      <w:r w:rsidRPr="006772D2">
        <w:t xml:space="preserve">Dalla MPR alla </w:t>
      </w:r>
      <w:proofErr w:type="spellStart"/>
      <w:r w:rsidRPr="006772D2">
        <w:rPr>
          <w:i/>
          <w:iCs/>
        </w:rPr>
        <w:t>interest</w:t>
      </w:r>
      <w:proofErr w:type="spellEnd"/>
      <w:r w:rsidRPr="006772D2">
        <w:rPr>
          <w:i/>
          <w:iCs/>
        </w:rPr>
        <w:t xml:space="preserve"> rate rule.</w:t>
      </w:r>
    </w:p>
    <w:p w14:paraId="03892B7F" w14:textId="77777777" w:rsidR="00A93F08" w:rsidRPr="006772D2" w:rsidRDefault="00A93F08" w:rsidP="00A93F08">
      <w:r w:rsidRPr="006772D2">
        <w:rPr>
          <w:i/>
        </w:rPr>
        <w:t>–</w:t>
      </w:r>
      <w:r w:rsidRPr="006772D2">
        <w:rPr>
          <w:i/>
        </w:rPr>
        <w:tab/>
      </w:r>
      <w:r w:rsidRPr="006772D2">
        <w:t>Regola ottima e regola di Taylor.</w:t>
      </w:r>
    </w:p>
    <w:p w14:paraId="40564C3A" w14:textId="77777777" w:rsidR="00A93F08" w:rsidRPr="006772D2" w:rsidRDefault="00A93F08" w:rsidP="00A93F08">
      <w:r w:rsidRPr="006772D2">
        <w:rPr>
          <w:i/>
        </w:rPr>
        <w:lastRenderedPageBreak/>
        <w:t>–</w:t>
      </w:r>
      <w:r w:rsidRPr="006772D2">
        <w:rPr>
          <w:i/>
        </w:rPr>
        <w:tab/>
      </w:r>
      <w:r w:rsidRPr="006772D2">
        <w:t xml:space="preserve">Incoerenza temporale e </w:t>
      </w:r>
      <w:proofErr w:type="spellStart"/>
      <w:r w:rsidRPr="006772D2">
        <w:rPr>
          <w:i/>
          <w:iCs/>
        </w:rPr>
        <w:t>bias</w:t>
      </w:r>
      <w:proofErr w:type="spellEnd"/>
      <w:r w:rsidRPr="006772D2">
        <w:t xml:space="preserve"> inflazionistico.</w:t>
      </w:r>
    </w:p>
    <w:p w14:paraId="49B7238A" w14:textId="77777777" w:rsidR="00A93F08" w:rsidRPr="006772D2" w:rsidRDefault="00A93F08" w:rsidP="00A93F08">
      <w:r w:rsidRPr="006772D2">
        <w:rPr>
          <w:i/>
        </w:rPr>
        <w:t>–</w:t>
      </w:r>
      <w:r w:rsidRPr="006772D2">
        <w:rPr>
          <w:i/>
        </w:rPr>
        <w:tab/>
      </w:r>
      <w:r w:rsidRPr="006772D2">
        <w:t>Regole di tasso e deflazione.</w:t>
      </w:r>
    </w:p>
    <w:p w14:paraId="11DB3024" w14:textId="77777777" w:rsidR="00A93F08" w:rsidRPr="006772D2" w:rsidRDefault="00A93F08" w:rsidP="00A93F08">
      <w:r w:rsidRPr="006772D2">
        <w:rPr>
          <w:i/>
        </w:rPr>
        <w:t>–</w:t>
      </w:r>
      <w:r w:rsidRPr="006772D2">
        <w:rPr>
          <w:i/>
        </w:rPr>
        <w:tab/>
      </w:r>
      <w:r w:rsidRPr="006772D2">
        <w:t>Politica monetaria in economia aperta.</w:t>
      </w:r>
    </w:p>
    <w:p w14:paraId="20D281BD" w14:textId="77777777" w:rsidR="00A93F08" w:rsidRPr="006772D2" w:rsidRDefault="00A93F08" w:rsidP="00A93F08">
      <w:r w:rsidRPr="006772D2">
        <w:rPr>
          <w:i/>
        </w:rPr>
        <w:t>–</w:t>
      </w:r>
      <w:r w:rsidRPr="006772D2">
        <w:rPr>
          <w:i/>
        </w:rPr>
        <w:tab/>
      </w:r>
      <w:r w:rsidRPr="006772D2">
        <w:t>Interazioni tra politica monetaria e fiscale in economia chiusa e aperta.</w:t>
      </w:r>
    </w:p>
    <w:p w14:paraId="73932BB3" w14:textId="77777777" w:rsidR="002000B9" w:rsidRDefault="00A93F08" w:rsidP="002000B9">
      <w:r w:rsidRPr="006772D2">
        <w:rPr>
          <w:i/>
        </w:rPr>
        <w:t>–</w:t>
      </w:r>
      <w:r w:rsidRPr="006772D2">
        <w:rPr>
          <w:i/>
        </w:rPr>
        <w:tab/>
      </w:r>
      <w:r w:rsidRPr="006772D2">
        <w:t>Interazioni tra politica monetaria e fiscale in un’unione monetaria.</w:t>
      </w:r>
    </w:p>
    <w:p w14:paraId="23B36CE3" w14:textId="621FA894" w:rsidR="00D6503B" w:rsidRPr="002000B9" w:rsidRDefault="00D6503B" w:rsidP="002000B9">
      <w:pPr>
        <w:pStyle w:val="Paragrafoelenco"/>
        <w:numPr>
          <w:ilvl w:val="0"/>
          <w:numId w:val="5"/>
        </w:numPr>
        <w:tabs>
          <w:tab w:val="left" w:pos="284"/>
        </w:tabs>
        <w:ind w:left="0" w:hanging="11"/>
        <w:rPr>
          <w:sz w:val="20"/>
          <w:szCs w:val="20"/>
        </w:rPr>
      </w:pPr>
      <w:r w:rsidRPr="002000B9">
        <w:rPr>
          <w:sz w:val="20"/>
          <w:szCs w:val="20"/>
        </w:rPr>
        <w:t>Interazioni tra politica monetaria e regolazione macro-prudenziale</w:t>
      </w:r>
    </w:p>
    <w:p w14:paraId="7EDCF650" w14:textId="77777777" w:rsidR="00A93F08" w:rsidRPr="006772D2" w:rsidRDefault="00A93F08" w:rsidP="00A93F08">
      <w:pPr>
        <w:spacing w:before="120"/>
        <w:rPr>
          <w:i/>
        </w:rPr>
      </w:pPr>
      <w:r w:rsidRPr="006772D2">
        <w:t>3.</w:t>
      </w:r>
      <w:r w:rsidRPr="006772D2">
        <w:tab/>
      </w:r>
      <w:r w:rsidRPr="006772D2">
        <w:rPr>
          <w:i/>
        </w:rPr>
        <w:t>Regole operative di politica monetaria</w:t>
      </w:r>
    </w:p>
    <w:p w14:paraId="7DE253EB" w14:textId="77777777" w:rsidR="00A93F08" w:rsidRPr="006772D2" w:rsidRDefault="00A93F08" w:rsidP="00A93F08">
      <w:r w:rsidRPr="006772D2">
        <w:rPr>
          <w:i/>
        </w:rPr>
        <w:t>–</w:t>
      </w:r>
      <w:r w:rsidRPr="006772D2">
        <w:rPr>
          <w:i/>
        </w:rPr>
        <w:tab/>
      </w:r>
      <w:r w:rsidRPr="006772D2">
        <w:t>Domanda e offerta di riserve bancarie.</w:t>
      </w:r>
    </w:p>
    <w:p w14:paraId="6EBA5E1F" w14:textId="77777777" w:rsidR="00A93F08" w:rsidRPr="006772D2" w:rsidRDefault="00A93F08" w:rsidP="00A93F08">
      <w:r w:rsidRPr="006772D2">
        <w:rPr>
          <w:i/>
        </w:rPr>
        <w:t>–</w:t>
      </w:r>
      <w:r w:rsidRPr="006772D2">
        <w:rPr>
          <w:i/>
        </w:rPr>
        <w:tab/>
      </w:r>
      <w:r w:rsidRPr="006772D2">
        <w:t xml:space="preserve">Equilibrio del mercato interbancario e </w:t>
      </w:r>
      <w:proofErr w:type="spellStart"/>
      <w:r w:rsidRPr="006772D2">
        <w:rPr>
          <w:i/>
          <w:iCs/>
        </w:rPr>
        <w:t>liquidity</w:t>
      </w:r>
      <w:proofErr w:type="spellEnd"/>
      <w:r w:rsidRPr="006772D2">
        <w:rPr>
          <w:i/>
          <w:iCs/>
        </w:rPr>
        <w:t xml:space="preserve"> shocks.</w:t>
      </w:r>
    </w:p>
    <w:p w14:paraId="7EB9BFEC" w14:textId="77777777" w:rsidR="00A93F08" w:rsidRPr="006772D2" w:rsidRDefault="00A93F08" w:rsidP="00A93F08">
      <w:r w:rsidRPr="006772D2">
        <w:rPr>
          <w:i/>
        </w:rPr>
        <w:t>–</w:t>
      </w:r>
      <w:r w:rsidRPr="006772D2">
        <w:rPr>
          <w:i/>
        </w:rPr>
        <w:tab/>
      </w:r>
      <w:r w:rsidRPr="006772D2">
        <w:t>La manovra dei tassi ufficiali.</w:t>
      </w:r>
    </w:p>
    <w:p w14:paraId="3704B9E5" w14:textId="2BCACC81" w:rsidR="00A93F08" w:rsidRDefault="00A93F08" w:rsidP="00A93F08">
      <w:r w:rsidRPr="006772D2">
        <w:rPr>
          <w:i/>
        </w:rPr>
        <w:t>–</w:t>
      </w:r>
      <w:r w:rsidRPr="006772D2">
        <w:rPr>
          <w:i/>
        </w:rPr>
        <w:tab/>
      </w:r>
      <w:r w:rsidRPr="006772D2">
        <w:t>Gli interventi “non convenzionali”.</w:t>
      </w:r>
    </w:p>
    <w:p w14:paraId="07697C45" w14:textId="77777777" w:rsidR="00673BBE" w:rsidRPr="00673BBE" w:rsidRDefault="00673BBE" w:rsidP="00673BBE">
      <w:pPr>
        <w:spacing w:before="120"/>
        <w:rPr>
          <w:smallCaps/>
          <w:szCs w:val="18"/>
        </w:rPr>
      </w:pPr>
      <w:r w:rsidRPr="00673BBE">
        <w:rPr>
          <w:smallCaps/>
          <w:szCs w:val="18"/>
        </w:rPr>
        <w:t>II Modulo</w:t>
      </w:r>
    </w:p>
    <w:p w14:paraId="74D11E1B" w14:textId="77777777" w:rsidR="00673BBE" w:rsidRPr="00673BBE" w:rsidRDefault="00673BBE" w:rsidP="00673BBE">
      <w:pPr>
        <w:rPr>
          <w:szCs w:val="18"/>
        </w:rPr>
      </w:pPr>
      <w:r w:rsidRPr="00673BBE">
        <w:rPr>
          <w:szCs w:val="18"/>
        </w:rPr>
        <w:t>1.</w:t>
      </w:r>
      <w:r w:rsidRPr="00673BBE">
        <w:rPr>
          <w:szCs w:val="18"/>
        </w:rPr>
        <w:tab/>
      </w:r>
      <w:r w:rsidRPr="00673BBE">
        <w:rPr>
          <w:i/>
          <w:szCs w:val="18"/>
        </w:rPr>
        <w:t>Struttura ed evoluzione del mercato dei cambi</w:t>
      </w:r>
    </w:p>
    <w:p w14:paraId="157CF71C" w14:textId="77777777" w:rsidR="00673BBE" w:rsidRPr="00673BBE" w:rsidRDefault="00673BBE" w:rsidP="00673BBE">
      <w:pPr>
        <w:rPr>
          <w:szCs w:val="18"/>
        </w:rPr>
      </w:pPr>
      <w:r w:rsidRPr="00673BBE">
        <w:rPr>
          <w:i/>
          <w:szCs w:val="18"/>
        </w:rPr>
        <w:t>–</w:t>
      </w:r>
      <w:r w:rsidRPr="00673BBE">
        <w:rPr>
          <w:i/>
          <w:szCs w:val="18"/>
        </w:rPr>
        <w:tab/>
      </w:r>
      <w:r w:rsidRPr="00673BBE">
        <w:rPr>
          <w:szCs w:val="18"/>
        </w:rPr>
        <w:t>Le rilevazioni e le analisi della BRI</w:t>
      </w:r>
    </w:p>
    <w:p w14:paraId="7620A60A" w14:textId="77777777" w:rsidR="00673BBE" w:rsidRPr="00673BBE" w:rsidRDefault="00673BBE" w:rsidP="00673BBE">
      <w:pPr>
        <w:rPr>
          <w:szCs w:val="18"/>
        </w:rPr>
      </w:pPr>
      <w:r w:rsidRPr="00673BBE">
        <w:rPr>
          <w:i/>
          <w:szCs w:val="18"/>
        </w:rPr>
        <w:t>–</w:t>
      </w:r>
      <w:r w:rsidRPr="00673BBE">
        <w:rPr>
          <w:i/>
          <w:szCs w:val="18"/>
        </w:rPr>
        <w:tab/>
      </w:r>
      <w:r w:rsidRPr="00673BBE">
        <w:rPr>
          <w:szCs w:val="18"/>
        </w:rPr>
        <w:t>La struttura dei tassi di cambio a pronti e a termine.</w:t>
      </w:r>
    </w:p>
    <w:p w14:paraId="5D8EC8AA" w14:textId="77777777" w:rsidR="00673BBE" w:rsidRPr="00673BBE" w:rsidRDefault="00673BBE" w:rsidP="00673BBE">
      <w:pPr>
        <w:rPr>
          <w:szCs w:val="18"/>
        </w:rPr>
      </w:pPr>
      <w:r w:rsidRPr="00673BBE">
        <w:rPr>
          <w:i/>
          <w:szCs w:val="18"/>
        </w:rPr>
        <w:t>–</w:t>
      </w:r>
      <w:r w:rsidRPr="00673BBE">
        <w:rPr>
          <w:i/>
          <w:szCs w:val="18"/>
        </w:rPr>
        <w:tab/>
      </w:r>
      <w:r w:rsidRPr="00673BBE">
        <w:rPr>
          <w:szCs w:val="18"/>
        </w:rPr>
        <w:t>Il ruolo degli Swap, future e opzioni.</w:t>
      </w:r>
    </w:p>
    <w:p w14:paraId="49B5057D" w14:textId="77777777" w:rsidR="00673BBE" w:rsidRPr="00673BBE" w:rsidRDefault="00673BBE" w:rsidP="00673BBE">
      <w:pPr>
        <w:rPr>
          <w:szCs w:val="18"/>
        </w:rPr>
      </w:pPr>
      <w:r w:rsidRPr="00673BBE">
        <w:rPr>
          <w:i/>
          <w:szCs w:val="18"/>
        </w:rPr>
        <w:t>–</w:t>
      </w:r>
      <w:r w:rsidRPr="00673BBE">
        <w:rPr>
          <w:i/>
          <w:szCs w:val="18"/>
        </w:rPr>
        <w:tab/>
      </w:r>
      <w:r w:rsidRPr="00673BBE">
        <w:rPr>
          <w:szCs w:val="18"/>
        </w:rPr>
        <w:t>Il ruolo dei principali operatori, centri finanziari e della tecnologia.</w:t>
      </w:r>
    </w:p>
    <w:p w14:paraId="40A05D2F" w14:textId="77777777" w:rsidR="00673BBE" w:rsidRPr="00673BBE" w:rsidRDefault="00673BBE" w:rsidP="00673BBE">
      <w:pPr>
        <w:spacing w:before="120"/>
        <w:rPr>
          <w:i/>
          <w:szCs w:val="18"/>
        </w:rPr>
      </w:pPr>
      <w:r w:rsidRPr="00673BBE">
        <w:rPr>
          <w:szCs w:val="18"/>
        </w:rPr>
        <w:t>2.</w:t>
      </w:r>
      <w:r w:rsidRPr="00673BBE">
        <w:rPr>
          <w:szCs w:val="18"/>
        </w:rPr>
        <w:tab/>
      </w:r>
      <w:r w:rsidRPr="00673BBE">
        <w:rPr>
          <w:i/>
          <w:szCs w:val="18"/>
        </w:rPr>
        <w:t xml:space="preserve">Evoluzione del sistema monetario </w:t>
      </w:r>
    </w:p>
    <w:p w14:paraId="6323A692" w14:textId="77777777" w:rsidR="00673BBE" w:rsidRPr="00673BBE" w:rsidRDefault="00673BBE" w:rsidP="00673BBE">
      <w:pPr>
        <w:rPr>
          <w:szCs w:val="18"/>
        </w:rPr>
      </w:pPr>
      <w:bookmarkStart w:id="1" w:name="_Hlk70493276"/>
      <w:r w:rsidRPr="00673BBE">
        <w:rPr>
          <w:i/>
          <w:szCs w:val="18"/>
        </w:rPr>
        <w:t>–</w:t>
      </w:r>
      <w:r w:rsidRPr="00673BBE">
        <w:rPr>
          <w:i/>
          <w:szCs w:val="18"/>
        </w:rPr>
        <w:tab/>
      </w:r>
      <w:bookmarkEnd w:id="1"/>
      <w:r w:rsidRPr="00673BBE">
        <w:rPr>
          <w:szCs w:val="18"/>
        </w:rPr>
        <w:t>Le valute ancora e i regimi dei valutari nel XXI secolo</w:t>
      </w:r>
      <w:r w:rsidRPr="00673BBE">
        <w:rPr>
          <w:i/>
          <w:szCs w:val="18"/>
        </w:rPr>
        <w:t xml:space="preserve"> </w:t>
      </w:r>
    </w:p>
    <w:p w14:paraId="69BA085A" w14:textId="77777777" w:rsidR="00673BBE" w:rsidRPr="00673BBE" w:rsidRDefault="00673BBE" w:rsidP="00673BBE">
      <w:pPr>
        <w:rPr>
          <w:i/>
          <w:szCs w:val="18"/>
        </w:rPr>
      </w:pPr>
      <w:r w:rsidRPr="00673BBE">
        <w:rPr>
          <w:i/>
          <w:szCs w:val="18"/>
        </w:rPr>
        <w:t>–</w:t>
      </w:r>
      <w:r w:rsidRPr="00673BBE">
        <w:rPr>
          <w:i/>
          <w:szCs w:val="18"/>
        </w:rPr>
        <w:tab/>
      </w:r>
      <w:r w:rsidRPr="00673BBE">
        <w:rPr>
          <w:szCs w:val="18"/>
        </w:rPr>
        <w:t>Il ruolo del dollaro, dell’euro, del renminbi e delle altre principali valute</w:t>
      </w:r>
      <w:r w:rsidRPr="00673BBE">
        <w:rPr>
          <w:i/>
          <w:szCs w:val="18"/>
        </w:rPr>
        <w:t xml:space="preserve"> </w:t>
      </w:r>
    </w:p>
    <w:p w14:paraId="20DF5251" w14:textId="77777777" w:rsidR="00673BBE" w:rsidRPr="00673BBE" w:rsidRDefault="00673BBE" w:rsidP="00673BBE">
      <w:pPr>
        <w:rPr>
          <w:szCs w:val="18"/>
        </w:rPr>
      </w:pPr>
      <w:bookmarkStart w:id="2" w:name="_Hlk70493593"/>
      <w:r w:rsidRPr="00673BBE">
        <w:rPr>
          <w:i/>
          <w:szCs w:val="18"/>
        </w:rPr>
        <w:t>–</w:t>
      </w:r>
      <w:r w:rsidRPr="00673BBE">
        <w:rPr>
          <w:i/>
          <w:szCs w:val="18"/>
        </w:rPr>
        <w:tab/>
      </w:r>
      <w:bookmarkEnd w:id="2"/>
      <w:r w:rsidRPr="00673BBE">
        <w:rPr>
          <w:szCs w:val="18"/>
        </w:rPr>
        <w:t>Il nuovo Bretton Wood</w:t>
      </w:r>
      <w:r w:rsidRPr="00673BBE">
        <w:rPr>
          <w:i/>
          <w:szCs w:val="18"/>
        </w:rPr>
        <w:t xml:space="preserve"> </w:t>
      </w:r>
    </w:p>
    <w:p w14:paraId="3265BD4D"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Quali valuta di regolamento, nel commercio internazionale </w:t>
      </w:r>
    </w:p>
    <w:p w14:paraId="041BFE94" w14:textId="77777777" w:rsidR="00673BBE" w:rsidRPr="00673BBE" w:rsidRDefault="00673BBE" w:rsidP="00673BBE">
      <w:pPr>
        <w:rPr>
          <w:szCs w:val="18"/>
        </w:rPr>
      </w:pPr>
      <w:r w:rsidRPr="00673BBE">
        <w:rPr>
          <w:i/>
          <w:szCs w:val="18"/>
        </w:rPr>
        <w:t>–</w:t>
      </w:r>
      <w:r w:rsidRPr="00673BBE">
        <w:rPr>
          <w:i/>
          <w:szCs w:val="18"/>
        </w:rPr>
        <w:tab/>
      </w:r>
      <w:r w:rsidRPr="00673BBE">
        <w:rPr>
          <w:szCs w:val="18"/>
        </w:rPr>
        <w:t>Quali valuta di negoziazione sui mercati finanziari</w:t>
      </w:r>
    </w:p>
    <w:p w14:paraId="410231CE" w14:textId="77777777" w:rsidR="00673BBE" w:rsidRPr="00673BBE" w:rsidRDefault="00673BBE" w:rsidP="00673BBE">
      <w:pPr>
        <w:rPr>
          <w:szCs w:val="18"/>
        </w:rPr>
      </w:pPr>
      <w:r w:rsidRPr="00673BBE">
        <w:rPr>
          <w:i/>
          <w:szCs w:val="18"/>
        </w:rPr>
        <w:t>–</w:t>
      </w:r>
      <w:r w:rsidRPr="00673BBE">
        <w:rPr>
          <w:i/>
          <w:szCs w:val="18"/>
        </w:rPr>
        <w:tab/>
      </w:r>
      <w:r w:rsidRPr="00673BBE">
        <w:rPr>
          <w:szCs w:val="18"/>
        </w:rPr>
        <w:t>Quali strumento di riserva internazionale.</w:t>
      </w:r>
    </w:p>
    <w:p w14:paraId="0C3D94F7" w14:textId="77777777" w:rsidR="00673BBE" w:rsidRPr="00673BBE" w:rsidRDefault="00673BBE" w:rsidP="00673BBE">
      <w:pPr>
        <w:spacing w:before="120"/>
        <w:rPr>
          <w:szCs w:val="18"/>
        </w:rPr>
      </w:pPr>
      <w:r w:rsidRPr="00673BBE">
        <w:rPr>
          <w:szCs w:val="18"/>
        </w:rPr>
        <w:t>3.</w:t>
      </w:r>
      <w:r w:rsidRPr="00673BBE">
        <w:rPr>
          <w:szCs w:val="18"/>
        </w:rPr>
        <w:tab/>
      </w:r>
      <w:r w:rsidRPr="00673BBE">
        <w:rPr>
          <w:i/>
          <w:szCs w:val="18"/>
        </w:rPr>
        <w:t>L’evidenza empirica e la dinamica dei mercati dei cambi</w:t>
      </w:r>
    </w:p>
    <w:p w14:paraId="31887523" w14:textId="77777777" w:rsidR="00673BBE" w:rsidRPr="00673BBE" w:rsidRDefault="00673BBE" w:rsidP="00673BBE">
      <w:pPr>
        <w:rPr>
          <w:szCs w:val="18"/>
        </w:rPr>
      </w:pPr>
      <w:r w:rsidRPr="00673BBE">
        <w:rPr>
          <w:i/>
          <w:szCs w:val="18"/>
        </w:rPr>
        <w:t>–</w:t>
      </w:r>
      <w:r w:rsidRPr="00673BBE">
        <w:rPr>
          <w:i/>
          <w:szCs w:val="18"/>
        </w:rPr>
        <w:tab/>
      </w:r>
      <w:r w:rsidRPr="00673BBE">
        <w:rPr>
          <w:szCs w:val="18"/>
        </w:rPr>
        <w:t>La volatilità del mercato dei cambi nel XXI secolo.</w:t>
      </w:r>
    </w:p>
    <w:p w14:paraId="5B029C66"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Cosa abbiamo imparato dai principali modelli </w:t>
      </w:r>
    </w:p>
    <w:p w14:paraId="5A8F1314" w14:textId="77777777" w:rsidR="00673BBE" w:rsidRPr="00673BBE" w:rsidRDefault="00673BBE" w:rsidP="00673BBE">
      <w:pPr>
        <w:spacing w:before="120"/>
        <w:rPr>
          <w:szCs w:val="18"/>
        </w:rPr>
      </w:pPr>
      <w:r w:rsidRPr="00673BBE">
        <w:rPr>
          <w:szCs w:val="18"/>
        </w:rPr>
        <w:t>4.</w:t>
      </w:r>
      <w:r w:rsidRPr="00673BBE">
        <w:rPr>
          <w:szCs w:val="18"/>
        </w:rPr>
        <w:tab/>
      </w:r>
      <w:r w:rsidRPr="00673BBE">
        <w:rPr>
          <w:i/>
          <w:szCs w:val="18"/>
        </w:rPr>
        <w:t>L’esperienza europea in termini di moneta unica</w:t>
      </w:r>
    </w:p>
    <w:p w14:paraId="3DDBC5CD" w14:textId="77777777" w:rsidR="00673BBE" w:rsidRPr="00673BBE" w:rsidRDefault="00673BBE" w:rsidP="00673BBE">
      <w:pPr>
        <w:rPr>
          <w:szCs w:val="18"/>
        </w:rPr>
      </w:pPr>
      <w:bookmarkStart w:id="3" w:name="_Hlk31966726"/>
      <w:r w:rsidRPr="00673BBE">
        <w:rPr>
          <w:i/>
          <w:szCs w:val="18"/>
        </w:rPr>
        <w:t>–</w:t>
      </w:r>
      <w:r w:rsidRPr="00673BBE">
        <w:rPr>
          <w:i/>
          <w:szCs w:val="18"/>
        </w:rPr>
        <w:tab/>
      </w:r>
      <w:r w:rsidRPr="00673BBE">
        <w:rPr>
          <w:szCs w:val="18"/>
        </w:rPr>
        <w:t xml:space="preserve">La </w:t>
      </w:r>
      <w:bookmarkEnd w:id="3"/>
      <w:r w:rsidRPr="00673BBE">
        <w:rPr>
          <w:szCs w:val="18"/>
        </w:rPr>
        <w:t>teoria economica delle aree valutarie ottimali.</w:t>
      </w:r>
    </w:p>
    <w:p w14:paraId="334013A7" w14:textId="77777777" w:rsidR="00673BBE" w:rsidRPr="00673BBE" w:rsidRDefault="00673BBE" w:rsidP="00673BBE">
      <w:pPr>
        <w:rPr>
          <w:szCs w:val="18"/>
        </w:rPr>
      </w:pPr>
      <w:r w:rsidRPr="00673BBE">
        <w:rPr>
          <w:i/>
          <w:szCs w:val="18"/>
        </w:rPr>
        <w:t>–</w:t>
      </w:r>
      <w:r w:rsidRPr="00673BBE">
        <w:rPr>
          <w:i/>
          <w:szCs w:val="18"/>
        </w:rPr>
        <w:tab/>
      </w:r>
      <w:r w:rsidRPr="00673BBE">
        <w:rPr>
          <w:szCs w:val="18"/>
        </w:rPr>
        <w:t>Costi e benefici di una moneta comune.</w:t>
      </w:r>
    </w:p>
    <w:p w14:paraId="3C3EC0C4"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La convergenza economica </w:t>
      </w:r>
    </w:p>
    <w:p w14:paraId="4E75E38A" w14:textId="77777777" w:rsidR="00673BBE" w:rsidRPr="00673BBE" w:rsidRDefault="00673BBE" w:rsidP="00673BBE">
      <w:pPr>
        <w:rPr>
          <w:szCs w:val="18"/>
        </w:rPr>
      </w:pPr>
      <w:r w:rsidRPr="00673BBE">
        <w:rPr>
          <w:szCs w:val="18"/>
        </w:rPr>
        <w:t>–</w:t>
      </w:r>
      <w:r w:rsidRPr="00673BBE">
        <w:rPr>
          <w:szCs w:val="18"/>
        </w:rPr>
        <w:tab/>
        <w:t xml:space="preserve">Il ruolo della cultura e delle istituzioni. </w:t>
      </w:r>
    </w:p>
    <w:p w14:paraId="1BA6F1C9" w14:textId="77777777" w:rsidR="00673BBE" w:rsidRPr="00673BBE" w:rsidRDefault="00673BBE" w:rsidP="00673BBE">
      <w:pPr>
        <w:rPr>
          <w:szCs w:val="18"/>
        </w:rPr>
      </w:pPr>
      <w:r w:rsidRPr="00673BBE">
        <w:rPr>
          <w:szCs w:val="18"/>
        </w:rPr>
        <w:t>–</w:t>
      </w:r>
      <w:r w:rsidRPr="00673BBE">
        <w:rPr>
          <w:szCs w:val="18"/>
        </w:rPr>
        <w:tab/>
        <w:t>Politiche monetarie e di bilancio nelle unioni monetarie.</w:t>
      </w:r>
    </w:p>
    <w:p w14:paraId="6E967EE3"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Come completare un’unione monetaria. </w:t>
      </w:r>
    </w:p>
    <w:p w14:paraId="1E8EC6A0" w14:textId="13525960" w:rsidR="00673BBE" w:rsidRPr="00673BBE" w:rsidRDefault="00673BBE" w:rsidP="00673BBE">
      <w:pPr>
        <w:spacing w:before="120"/>
        <w:rPr>
          <w:szCs w:val="18"/>
        </w:rPr>
      </w:pPr>
      <w:r w:rsidRPr="00673BBE">
        <w:rPr>
          <w:szCs w:val="18"/>
        </w:rPr>
        <w:t>5.</w:t>
      </w:r>
      <w:r w:rsidRPr="00673BBE">
        <w:rPr>
          <w:szCs w:val="18"/>
        </w:rPr>
        <w:tab/>
      </w:r>
      <w:r w:rsidRPr="00673BBE">
        <w:rPr>
          <w:i/>
          <w:szCs w:val="18"/>
        </w:rPr>
        <w:t>Cause e conseguenze delle crisi valutarie e finanziarie</w:t>
      </w:r>
      <w:r w:rsidR="00396DFF">
        <w:rPr>
          <w:i/>
          <w:szCs w:val="18"/>
        </w:rPr>
        <w:t xml:space="preserve"> </w:t>
      </w:r>
    </w:p>
    <w:p w14:paraId="66669AD9" w14:textId="77777777" w:rsidR="00673BBE" w:rsidRPr="00673BBE" w:rsidRDefault="00673BBE" w:rsidP="00673BBE">
      <w:pPr>
        <w:rPr>
          <w:szCs w:val="18"/>
        </w:rPr>
      </w:pPr>
      <w:r w:rsidRPr="00673BBE">
        <w:rPr>
          <w:i/>
          <w:szCs w:val="18"/>
        </w:rPr>
        <w:t>–</w:t>
      </w:r>
      <w:r w:rsidRPr="00673BBE">
        <w:rPr>
          <w:i/>
          <w:szCs w:val="18"/>
        </w:rPr>
        <w:tab/>
      </w:r>
      <w:r w:rsidRPr="00673BBE">
        <w:rPr>
          <w:szCs w:val="18"/>
        </w:rPr>
        <w:t>Il nuovo scenario bancario e finanziario</w:t>
      </w:r>
    </w:p>
    <w:p w14:paraId="094F75EA" w14:textId="77777777" w:rsidR="00673BBE" w:rsidRPr="00673BBE" w:rsidRDefault="00673BBE" w:rsidP="00673BBE">
      <w:pPr>
        <w:rPr>
          <w:szCs w:val="18"/>
        </w:rPr>
      </w:pPr>
      <w:r w:rsidRPr="00673BBE">
        <w:rPr>
          <w:i/>
          <w:szCs w:val="18"/>
        </w:rPr>
        <w:t>–</w:t>
      </w:r>
      <w:r w:rsidRPr="00673BBE">
        <w:rPr>
          <w:i/>
          <w:szCs w:val="18"/>
        </w:rPr>
        <w:tab/>
      </w:r>
      <w:r w:rsidRPr="00673BBE">
        <w:rPr>
          <w:szCs w:val="18"/>
        </w:rPr>
        <w:t>Crisi finanziarie e rischio sistemico</w:t>
      </w:r>
    </w:p>
    <w:p w14:paraId="486B47E2" w14:textId="77777777" w:rsidR="00673BBE" w:rsidRPr="00673BBE" w:rsidRDefault="00673BBE" w:rsidP="00673BBE">
      <w:pPr>
        <w:rPr>
          <w:szCs w:val="18"/>
        </w:rPr>
      </w:pPr>
      <w:bookmarkStart w:id="4" w:name="_Hlk70494893"/>
      <w:r w:rsidRPr="00673BBE">
        <w:rPr>
          <w:i/>
          <w:szCs w:val="18"/>
        </w:rPr>
        <w:lastRenderedPageBreak/>
        <w:t>–</w:t>
      </w:r>
      <w:r w:rsidRPr="00673BBE">
        <w:rPr>
          <w:i/>
          <w:szCs w:val="18"/>
        </w:rPr>
        <w:tab/>
      </w:r>
      <w:bookmarkEnd w:id="4"/>
      <w:r w:rsidRPr="00673BBE">
        <w:rPr>
          <w:szCs w:val="18"/>
        </w:rPr>
        <w:t>Distinzione tra crisi di solvibilità e di liquidità</w:t>
      </w:r>
    </w:p>
    <w:p w14:paraId="56B17394" w14:textId="77777777" w:rsidR="00673BBE" w:rsidRPr="00673BBE" w:rsidRDefault="00673BBE" w:rsidP="00673BBE">
      <w:pPr>
        <w:rPr>
          <w:szCs w:val="18"/>
        </w:rPr>
      </w:pPr>
      <w:r w:rsidRPr="00673BBE">
        <w:rPr>
          <w:szCs w:val="18"/>
        </w:rPr>
        <w:t>–</w:t>
      </w:r>
      <w:r w:rsidRPr="00673BBE">
        <w:rPr>
          <w:szCs w:val="18"/>
        </w:rPr>
        <w:tab/>
        <w:t xml:space="preserve">Flight to </w:t>
      </w:r>
      <w:proofErr w:type="spellStart"/>
      <w:r w:rsidRPr="00673BBE">
        <w:rPr>
          <w:szCs w:val="18"/>
        </w:rPr>
        <w:t>safety</w:t>
      </w:r>
      <w:proofErr w:type="spellEnd"/>
      <w:r w:rsidRPr="00673BBE">
        <w:rPr>
          <w:szCs w:val="18"/>
        </w:rPr>
        <w:t>/</w:t>
      </w:r>
      <w:proofErr w:type="spellStart"/>
      <w:r w:rsidRPr="00673BBE">
        <w:rPr>
          <w:szCs w:val="18"/>
        </w:rPr>
        <w:t>quality</w:t>
      </w:r>
      <w:proofErr w:type="spellEnd"/>
    </w:p>
    <w:p w14:paraId="70ABE3BB"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Il ruolo delle politiche monetarie non convenzionali </w:t>
      </w:r>
    </w:p>
    <w:p w14:paraId="0D4C7D84" w14:textId="77777777" w:rsidR="00673BBE" w:rsidRPr="00673BBE" w:rsidRDefault="00673BBE" w:rsidP="00673BBE">
      <w:pPr>
        <w:spacing w:before="120"/>
        <w:rPr>
          <w:i/>
          <w:szCs w:val="18"/>
        </w:rPr>
      </w:pPr>
      <w:bookmarkStart w:id="5" w:name="_Hlk31967499"/>
      <w:r w:rsidRPr="00673BBE">
        <w:rPr>
          <w:szCs w:val="18"/>
        </w:rPr>
        <w:t>6.</w:t>
      </w:r>
      <w:r w:rsidRPr="00673BBE">
        <w:rPr>
          <w:szCs w:val="18"/>
        </w:rPr>
        <w:tab/>
      </w:r>
      <w:r w:rsidRPr="00673BBE">
        <w:rPr>
          <w:i/>
          <w:szCs w:val="18"/>
        </w:rPr>
        <w:t>La finanza islamica</w:t>
      </w:r>
    </w:p>
    <w:p w14:paraId="4A77D8BD" w14:textId="59E53298" w:rsidR="00673BBE" w:rsidRPr="00673BBE" w:rsidRDefault="00673BBE" w:rsidP="00673BBE">
      <w:pPr>
        <w:rPr>
          <w:szCs w:val="18"/>
        </w:rPr>
      </w:pPr>
      <w:r w:rsidRPr="00673BBE">
        <w:rPr>
          <w:i/>
          <w:szCs w:val="18"/>
        </w:rPr>
        <w:t>–</w:t>
      </w:r>
      <w:r w:rsidRPr="00673BBE">
        <w:rPr>
          <w:i/>
          <w:szCs w:val="18"/>
        </w:rPr>
        <w:tab/>
      </w:r>
      <w:r w:rsidRPr="00673BBE">
        <w:rPr>
          <w:szCs w:val="18"/>
        </w:rPr>
        <w:t>La genesi e le ragioni della crescita</w:t>
      </w:r>
      <w:r w:rsidR="00396DFF">
        <w:rPr>
          <w:szCs w:val="18"/>
        </w:rPr>
        <w:t xml:space="preserve"> </w:t>
      </w:r>
    </w:p>
    <w:p w14:paraId="72C2B5CE" w14:textId="77777777" w:rsidR="00673BBE" w:rsidRPr="00673BBE" w:rsidRDefault="00673BBE" w:rsidP="00673BBE">
      <w:pPr>
        <w:rPr>
          <w:szCs w:val="18"/>
        </w:rPr>
      </w:pPr>
      <w:r w:rsidRPr="00673BBE">
        <w:rPr>
          <w:i/>
          <w:szCs w:val="18"/>
        </w:rPr>
        <w:t>–</w:t>
      </w:r>
      <w:r w:rsidRPr="00673BBE">
        <w:rPr>
          <w:i/>
          <w:szCs w:val="18"/>
        </w:rPr>
        <w:tab/>
      </w:r>
      <w:r w:rsidRPr="00673BBE">
        <w:rPr>
          <w:szCs w:val="18"/>
        </w:rPr>
        <w:t>La banca islamica</w:t>
      </w:r>
    </w:p>
    <w:p w14:paraId="32C5964C" w14:textId="77777777" w:rsidR="00673BBE" w:rsidRPr="00673BBE" w:rsidRDefault="00673BBE" w:rsidP="00673BBE">
      <w:pPr>
        <w:rPr>
          <w:szCs w:val="18"/>
        </w:rPr>
      </w:pPr>
      <w:r w:rsidRPr="00673BBE">
        <w:rPr>
          <w:i/>
          <w:szCs w:val="18"/>
        </w:rPr>
        <w:t>–</w:t>
      </w:r>
      <w:r w:rsidRPr="00673BBE">
        <w:rPr>
          <w:i/>
          <w:szCs w:val="18"/>
        </w:rPr>
        <w:tab/>
      </w:r>
      <w:r w:rsidRPr="00673BBE">
        <w:rPr>
          <w:szCs w:val="18"/>
        </w:rPr>
        <w:t>I sukuk.</w:t>
      </w:r>
    </w:p>
    <w:p w14:paraId="6123C231" w14:textId="77777777" w:rsidR="00673BBE" w:rsidRPr="00673BBE" w:rsidRDefault="00673BBE" w:rsidP="00673BBE">
      <w:pPr>
        <w:rPr>
          <w:szCs w:val="18"/>
        </w:rPr>
      </w:pPr>
      <w:r w:rsidRPr="00673BBE">
        <w:rPr>
          <w:i/>
          <w:szCs w:val="18"/>
        </w:rPr>
        <w:t>–</w:t>
      </w:r>
      <w:r w:rsidRPr="00673BBE">
        <w:rPr>
          <w:szCs w:val="18"/>
        </w:rPr>
        <w:tab/>
        <w:t xml:space="preserve">Gli indici e fondi </w:t>
      </w:r>
    </w:p>
    <w:p w14:paraId="33DDB0D0" w14:textId="77777777" w:rsidR="00673BBE" w:rsidRPr="00673BBE" w:rsidRDefault="00673BBE" w:rsidP="00673BBE">
      <w:pPr>
        <w:rPr>
          <w:szCs w:val="18"/>
        </w:rPr>
      </w:pPr>
      <w:r w:rsidRPr="00673BBE">
        <w:rPr>
          <w:szCs w:val="18"/>
        </w:rPr>
        <w:t>–</w:t>
      </w:r>
      <w:r w:rsidRPr="00673BBE">
        <w:rPr>
          <w:szCs w:val="18"/>
        </w:rPr>
        <w:tab/>
        <w:t xml:space="preserve">L’assicurazione islamica </w:t>
      </w:r>
      <w:bookmarkEnd w:id="5"/>
    </w:p>
    <w:p w14:paraId="5AD4DB53" w14:textId="77777777" w:rsidR="00673BBE" w:rsidRPr="00673BBE" w:rsidRDefault="00673BBE" w:rsidP="00673BBE">
      <w:pPr>
        <w:spacing w:before="120"/>
        <w:rPr>
          <w:szCs w:val="18"/>
        </w:rPr>
      </w:pPr>
      <w:r w:rsidRPr="00673BBE">
        <w:rPr>
          <w:szCs w:val="18"/>
        </w:rPr>
        <w:t>7.</w:t>
      </w:r>
      <w:r w:rsidRPr="00673BBE">
        <w:rPr>
          <w:szCs w:val="18"/>
        </w:rPr>
        <w:tab/>
      </w:r>
      <w:r w:rsidRPr="00673BBE">
        <w:rPr>
          <w:i/>
          <w:szCs w:val="18"/>
        </w:rPr>
        <w:t xml:space="preserve">Il populismo </w:t>
      </w:r>
    </w:p>
    <w:p w14:paraId="32EEEF19" w14:textId="77777777" w:rsidR="00673BBE" w:rsidRPr="00673BBE" w:rsidRDefault="00673BBE" w:rsidP="00673BBE">
      <w:pPr>
        <w:rPr>
          <w:szCs w:val="18"/>
        </w:rPr>
      </w:pPr>
      <w:r w:rsidRPr="00673BBE">
        <w:rPr>
          <w:i/>
          <w:szCs w:val="18"/>
        </w:rPr>
        <w:t>–</w:t>
      </w:r>
      <w:r w:rsidRPr="00673BBE">
        <w:rPr>
          <w:i/>
          <w:szCs w:val="18"/>
        </w:rPr>
        <w:tab/>
      </w:r>
      <w:r w:rsidRPr="00673BBE">
        <w:rPr>
          <w:szCs w:val="18"/>
        </w:rPr>
        <w:t>Una definizione ragionevole</w:t>
      </w:r>
    </w:p>
    <w:p w14:paraId="135753CC"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Modelli di affermazione del populismo nella storia e nella geografia mondiale </w:t>
      </w:r>
    </w:p>
    <w:p w14:paraId="1836780D" w14:textId="77777777" w:rsidR="00673BBE" w:rsidRPr="00673BBE" w:rsidRDefault="00673BBE" w:rsidP="00673BBE">
      <w:pPr>
        <w:rPr>
          <w:szCs w:val="18"/>
        </w:rPr>
      </w:pPr>
      <w:bookmarkStart w:id="6" w:name="_Hlk31968118"/>
      <w:r w:rsidRPr="00673BBE">
        <w:rPr>
          <w:i/>
          <w:szCs w:val="18"/>
        </w:rPr>
        <w:t>–</w:t>
      </w:r>
      <w:r w:rsidRPr="00673BBE">
        <w:rPr>
          <w:i/>
          <w:szCs w:val="18"/>
        </w:rPr>
        <w:tab/>
      </w:r>
      <w:bookmarkEnd w:id="6"/>
      <w:r w:rsidRPr="00673BBE">
        <w:rPr>
          <w:szCs w:val="18"/>
        </w:rPr>
        <w:t xml:space="preserve">La domanda e l’offerta </w:t>
      </w:r>
    </w:p>
    <w:p w14:paraId="7CA85460" w14:textId="77777777" w:rsidR="00673BBE" w:rsidRPr="00673BBE" w:rsidRDefault="00673BBE" w:rsidP="00673BBE">
      <w:pPr>
        <w:rPr>
          <w:szCs w:val="18"/>
        </w:rPr>
      </w:pPr>
      <w:r w:rsidRPr="00673BBE">
        <w:rPr>
          <w:i/>
          <w:szCs w:val="18"/>
        </w:rPr>
        <w:t>–</w:t>
      </w:r>
      <w:r w:rsidRPr="00673BBE">
        <w:rPr>
          <w:i/>
          <w:szCs w:val="18"/>
        </w:rPr>
        <w:tab/>
      </w:r>
      <w:r w:rsidRPr="00673BBE">
        <w:rPr>
          <w:szCs w:val="18"/>
        </w:rPr>
        <w:t xml:space="preserve">Le cause economiche, sociali e politiche </w:t>
      </w:r>
    </w:p>
    <w:p w14:paraId="60B9D5EB" w14:textId="77777777" w:rsidR="00673BBE" w:rsidRPr="00673BBE" w:rsidRDefault="00673BBE" w:rsidP="00673BBE">
      <w:pPr>
        <w:rPr>
          <w:szCs w:val="18"/>
        </w:rPr>
      </w:pPr>
      <w:bookmarkStart w:id="7" w:name="_Hlk70492922"/>
      <w:r w:rsidRPr="00673BBE">
        <w:rPr>
          <w:i/>
          <w:szCs w:val="18"/>
        </w:rPr>
        <w:t>–</w:t>
      </w:r>
      <w:bookmarkEnd w:id="7"/>
      <w:r w:rsidRPr="00673BBE">
        <w:rPr>
          <w:i/>
          <w:szCs w:val="18"/>
        </w:rPr>
        <w:tab/>
      </w:r>
      <w:r w:rsidRPr="00673BBE">
        <w:rPr>
          <w:szCs w:val="18"/>
        </w:rPr>
        <w:t xml:space="preserve">Il ruolo dei mezzi comunicazione </w:t>
      </w:r>
    </w:p>
    <w:p w14:paraId="3C77292F" w14:textId="352BF246" w:rsidR="00F82642" w:rsidRPr="00F82642" w:rsidRDefault="006772D2" w:rsidP="00F82642">
      <w:pPr>
        <w:spacing w:before="240" w:after="120"/>
        <w:rPr>
          <w:b/>
          <w:i/>
          <w:sz w:val="18"/>
        </w:rPr>
      </w:pPr>
      <w:r w:rsidRPr="00F82642">
        <w:rPr>
          <w:b/>
          <w:i/>
          <w:sz w:val="18"/>
        </w:rPr>
        <w:t>BIBLIOGRAFIA</w:t>
      </w:r>
      <w:r w:rsidR="00311D8C">
        <w:rPr>
          <w:rStyle w:val="Rimandonotaapidipagina"/>
          <w:b/>
          <w:i/>
          <w:sz w:val="18"/>
        </w:rPr>
        <w:footnoteReference w:id="1"/>
      </w:r>
      <w:r w:rsidRPr="00F82642">
        <w:rPr>
          <w:b/>
          <w:i/>
          <w:sz w:val="18"/>
        </w:rPr>
        <w:t xml:space="preserve"> </w:t>
      </w:r>
    </w:p>
    <w:p w14:paraId="30393776" w14:textId="7A5F7E24" w:rsidR="006772D2" w:rsidRPr="00F82642" w:rsidRDefault="006772D2" w:rsidP="006772D2">
      <w:pPr>
        <w:rPr>
          <w:b/>
          <w:i/>
          <w:sz w:val="18"/>
          <w:szCs w:val="18"/>
        </w:rPr>
      </w:pPr>
      <w:r w:rsidRPr="00F82642">
        <w:rPr>
          <w:b/>
          <w:i/>
          <w:sz w:val="18"/>
          <w:szCs w:val="18"/>
        </w:rPr>
        <w:t>I Modulo</w:t>
      </w:r>
    </w:p>
    <w:p w14:paraId="1E11771F" w14:textId="4278E175" w:rsidR="006772D2" w:rsidRPr="00F82642" w:rsidRDefault="006772D2" w:rsidP="00396DFF">
      <w:pPr>
        <w:pStyle w:val="Testo1"/>
      </w:pPr>
      <w:r w:rsidRPr="00F82642">
        <w:t>Letture obbligatorie</w:t>
      </w:r>
    </w:p>
    <w:p w14:paraId="1F139E28" w14:textId="77777777" w:rsidR="006772D2" w:rsidRPr="00F82642" w:rsidRDefault="006772D2" w:rsidP="006772D2">
      <w:pPr>
        <w:rPr>
          <w:sz w:val="18"/>
          <w:szCs w:val="18"/>
        </w:rPr>
      </w:pPr>
      <w:r w:rsidRPr="00F82642">
        <w:rPr>
          <w:smallCaps/>
          <w:sz w:val="18"/>
          <w:szCs w:val="18"/>
        </w:rPr>
        <w:t xml:space="preserve">F.C. </w:t>
      </w:r>
      <w:proofErr w:type="spellStart"/>
      <w:r w:rsidRPr="00F82642">
        <w:rPr>
          <w:smallCaps/>
          <w:sz w:val="18"/>
          <w:szCs w:val="18"/>
        </w:rPr>
        <w:t>Bagliano</w:t>
      </w:r>
      <w:proofErr w:type="spellEnd"/>
      <w:r w:rsidRPr="00F82642">
        <w:rPr>
          <w:sz w:val="18"/>
          <w:szCs w:val="18"/>
        </w:rPr>
        <w:t>,</w:t>
      </w:r>
      <w:r w:rsidRPr="00F82642">
        <w:rPr>
          <w:i/>
          <w:sz w:val="18"/>
          <w:szCs w:val="18"/>
        </w:rPr>
        <w:t xml:space="preserve"> Appunti su aspettative razionali e Nuova Macroeconomia Classica,</w:t>
      </w:r>
      <w:r w:rsidRPr="00F82642">
        <w:rPr>
          <w:iCs/>
          <w:sz w:val="18"/>
          <w:szCs w:val="18"/>
        </w:rPr>
        <w:t xml:space="preserve"> </w:t>
      </w:r>
      <w:r w:rsidRPr="00F82642">
        <w:rPr>
          <w:sz w:val="18"/>
          <w:szCs w:val="18"/>
        </w:rPr>
        <w:t>(Blackboard).</w:t>
      </w:r>
    </w:p>
    <w:p w14:paraId="4EA7195B" w14:textId="6016CD0E" w:rsidR="006772D2" w:rsidRPr="00F82642" w:rsidRDefault="006772D2" w:rsidP="006772D2">
      <w:pPr>
        <w:rPr>
          <w:sz w:val="18"/>
          <w:szCs w:val="18"/>
          <w:lang w:val="en-US"/>
        </w:rPr>
      </w:pPr>
      <w:r w:rsidRPr="00F82642">
        <w:rPr>
          <w:smallCaps/>
          <w:sz w:val="18"/>
          <w:szCs w:val="18"/>
        </w:rPr>
        <w:t>A. Boitani</w:t>
      </w:r>
      <w:r w:rsidRPr="00F82642">
        <w:rPr>
          <w:sz w:val="18"/>
          <w:szCs w:val="18"/>
        </w:rPr>
        <w:t>,</w:t>
      </w:r>
      <w:r w:rsidRPr="00F82642">
        <w:rPr>
          <w:i/>
          <w:sz w:val="18"/>
          <w:szCs w:val="18"/>
        </w:rPr>
        <w:t xml:space="preserve"> </w:t>
      </w:r>
      <w:r w:rsidRPr="00F82642">
        <w:rPr>
          <w:i/>
          <w:iCs/>
          <w:sz w:val="18"/>
          <w:szCs w:val="18"/>
        </w:rPr>
        <w:t>Macroeconomia</w:t>
      </w:r>
      <w:r w:rsidRPr="00F82642">
        <w:rPr>
          <w:i/>
          <w:sz w:val="18"/>
          <w:szCs w:val="18"/>
        </w:rPr>
        <w:t>,</w:t>
      </w:r>
      <w:r w:rsidRPr="00F82642">
        <w:rPr>
          <w:sz w:val="18"/>
          <w:szCs w:val="18"/>
        </w:rPr>
        <w:t xml:space="preserve"> Il Mulino, 2019 (capp. </w:t>
      </w:r>
      <w:r w:rsidRPr="00F82642">
        <w:rPr>
          <w:sz w:val="18"/>
          <w:szCs w:val="18"/>
          <w:lang w:val="en-US"/>
        </w:rPr>
        <w:t>16, 17).</w:t>
      </w:r>
      <w:r w:rsidR="00311D8C">
        <w:rPr>
          <w:sz w:val="18"/>
          <w:szCs w:val="18"/>
          <w:lang w:val="en-US"/>
        </w:rPr>
        <w:t xml:space="preserve"> </w:t>
      </w:r>
      <w:hyperlink r:id="rId7" w:history="1">
        <w:r w:rsidR="00311D8C" w:rsidRPr="00311D8C">
          <w:rPr>
            <w:rStyle w:val="Collegamentoipertestuale"/>
            <w:i/>
            <w:sz w:val="18"/>
            <w:szCs w:val="18"/>
          </w:rPr>
          <w:t>Acquista da VP</w:t>
        </w:r>
      </w:hyperlink>
    </w:p>
    <w:p w14:paraId="7B849411" w14:textId="77777777" w:rsidR="006772D2" w:rsidRPr="00F82642" w:rsidRDefault="006772D2" w:rsidP="006772D2">
      <w:pPr>
        <w:rPr>
          <w:sz w:val="18"/>
          <w:szCs w:val="18"/>
          <w:lang w:val="en-GB"/>
        </w:rPr>
      </w:pPr>
      <w:r w:rsidRPr="00F82642">
        <w:rPr>
          <w:smallCaps/>
          <w:sz w:val="18"/>
          <w:szCs w:val="18"/>
          <w:lang w:val="en-GB"/>
        </w:rPr>
        <w:t xml:space="preserve">P. </w:t>
      </w:r>
      <w:proofErr w:type="spellStart"/>
      <w:r w:rsidRPr="00F82642">
        <w:rPr>
          <w:smallCaps/>
          <w:sz w:val="18"/>
          <w:szCs w:val="18"/>
          <w:lang w:val="en-GB"/>
        </w:rPr>
        <w:t>Bofinger</w:t>
      </w:r>
      <w:proofErr w:type="spellEnd"/>
      <w:r w:rsidRPr="00F82642">
        <w:rPr>
          <w:smallCaps/>
          <w:sz w:val="18"/>
          <w:szCs w:val="18"/>
          <w:lang w:val="en-GB"/>
        </w:rPr>
        <w:t>-E. Mayer</w:t>
      </w:r>
      <w:r w:rsidRPr="00F82642">
        <w:rPr>
          <w:sz w:val="18"/>
          <w:szCs w:val="18"/>
          <w:lang w:val="en-GB"/>
        </w:rPr>
        <w:t>,</w:t>
      </w:r>
      <w:r w:rsidRPr="00F82642">
        <w:rPr>
          <w:i/>
          <w:sz w:val="18"/>
          <w:szCs w:val="18"/>
          <w:lang w:val="en-GB"/>
        </w:rPr>
        <w:t xml:space="preserve"> Monetary and fiscal policy interaction in a closed economy,</w:t>
      </w:r>
      <w:r w:rsidRPr="00F82642">
        <w:rPr>
          <w:sz w:val="18"/>
          <w:szCs w:val="18"/>
          <w:lang w:val="en-US"/>
        </w:rPr>
        <w:t xml:space="preserve"> (Blackboard).</w:t>
      </w:r>
    </w:p>
    <w:p w14:paraId="2831527A" w14:textId="77777777" w:rsidR="006772D2" w:rsidRPr="00F82642" w:rsidRDefault="006772D2" w:rsidP="006772D2">
      <w:pPr>
        <w:rPr>
          <w:sz w:val="18"/>
          <w:szCs w:val="18"/>
          <w:lang w:val="en-GB"/>
        </w:rPr>
      </w:pPr>
      <w:r w:rsidRPr="00F82642">
        <w:rPr>
          <w:smallCaps/>
          <w:sz w:val="18"/>
          <w:szCs w:val="18"/>
          <w:lang w:val="en-GB"/>
        </w:rPr>
        <w:t xml:space="preserve">P. </w:t>
      </w:r>
      <w:proofErr w:type="spellStart"/>
      <w:r w:rsidRPr="00F82642">
        <w:rPr>
          <w:smallCaps/>
          <w:sz w:val="18"/>
          <w:szCs w:val="18"/>
          <w:lang w:val="en-GB"/>
        </w:rPr>
        <w:t>Bofinger</w:t>
      </w:r>
      <w:proofErr w:type="spellEnd"/>
      <w:r w:rsidRPr="00F82642">
        <w:rPr>
          <w:smallCaps/>
          <w:sz w:val="18"/>
          <w:szCs w:val="18"/>
          <w:lang w:val="en-GB"/>
        </w:rPr>
        <w:t>-E. Mayer</w:t>
      </w:r>
      <w:r w:rsidRPr="00F82642">
        <w:rPr>
          <w:sz w:val="18"/>
          <w:szCs w:val="18"/>
          <w:lang w:val="en-GB"/>
        </w:rPr>
        <w:t>,</w:t>
      </w:r>
      <w:r w:rsidRPr="00F82642">
        <w:rPr>
          <w:i/>
          <w:sz w:val="18"/>
          <w:szCs w:val="18"/>
          <w:lang w:val="en-GB"/>
        </w:rPr>
        <w:t xml:space="preserve"> Monetary and fiscal policy interaction in the Euro Area with different assumptions on the Phillips curve,</w:t>
      </w:r>
      <w:r w:rsidRPr="00F82642">
        <w:rPr>
          <w:sz w:val="18"/>
          <w:szCs w:val="18"/>
          <w:lang w:val="en-GB"/>
        </w:rPr>
        <w:t xml:space="preserve"> Open Economy Review (2007), 18: 291-305 (Blackboard).</w:t>
      </w:r>
    </w:p>
    <w:p w14:paraId="39F9BAD8" w14:textId="68BB21FE" w:rsidR="006772D2" w:rsidRPr="00810E3E" w:rsidRDefault="006772D2" w:rsidP="006772D2">
      <w:pPr>
        <w:rPr>
          <w:sz w:val="18"/>
          <w:szCs w:val="18"/>
        </w:rPr>
      </w:pPr>
      <w:r w:rsidRPr="00810E3E">
        <w:rPr>
          <w:smallCaps/>
          <w:sz w:val="18"/>
          <w:szCs w:val="18"/>
        </w:rPr>
        <w:t>A. Baglioni</w:t>
      </w:r>
      <w:r w:rsidRPr="00810E3E">
        <w:rPr>
          <w:sz w:val="18"/>
          <w:szCs w:val="18"/>
        </w:rPr>
        <w:t>,</w:t>
      </w:r>
      <w:r w:rsidR="00810E3E" w:rsidRPr="00810E3E">
        <w:rPr>
          <w:sz w:val="18"/>
          <w:szCs w:val="18"/>
        </w:rPr>
        <w:t xml:space="preserve"> </w:t>
      </w:r>
      <w:r w:rsidR="00810E3E" w:rsidRPr="00810E3E">
        <w:rPr>
          <w:i/>
          <w:iCs/>
          <w:sz w:val="18"/>
          <w:szCs w:val="18"/>
        </w:rPr>
        <w:t>Le frontier</w:t>
      </w:r>
      <w:r w:rsidR="00D47417">
        <w:rPr>
          <w:i/>
          <w:iCs/>
          <w:sz w:val="18"/>
          <w:szCs w:val="18"/>
        </w:rPr>
        <w:t>a</w:t>
      </w:r>
      <w:r w:rsidR="00810E3E" w:rsidRPr="00810E3E">
        <w:rPr>
          <w:i/>
          <w:iCs/>
          <w:sz w:val="18"/>
          <w:szCs w:val="18"/>
        </w:rPr>
        <w:t xml:space="preserve"> della politica monetaria</w:t>
      </w:r>
      <w:r w:rsidR="00810E3E">
        <w:rPr>
          <w:sz w:val="18"/>
          <w:szCs w:val="18"/>
        </w:rPr>
        <w:t>, Hoepli, 2021</w:t>
      </w:r>
      <w:r w:rsidR="00810E3E" w:rsidRPr="00810E3E">
        <w:rPr>
          <w:sz w:val="18"/>
          <w:szCs w:val="18"/>
        </w:rPr>
        <w:t xml:space="preserve"> (cap. </w:t>
      </w:r>
      <w:r w:rsidR="00810E3E">
        <w:rPr>
          <w:sz w:val="18"/>
          <w:szCs w:val="18"/>
        </w:rPr>
        <w:t>2)</w:t>
      </w:r>
      <w:r w:rsidRPr="00810E3E">
        <w:rPr>
          <w:sz w:val="18"/>
          <w:szCs w:val="18"/>
        </w:rPr>
        <w:t>.</w:t>
      </w:r>
      <w:r w:rsidR="00311D8C">
        <w:rPr>
          <w:sz w:val="18"/>
          <w:szCs w:val="18"/>
        </w:rPr>
        <w:t xml:space="preserve"> </w:t>
      </w:r>
      <w:hyperlink r:id="rId8" w:history="1">
        <w:r w:rsidR="00311D8C" w:rsidRPr="00311D8C">
          <w:rPr>
            <w:rStyle w:val="Collegamentoipertestuale"/>
            <w:i/>
            <w:sz w:val="18"/>
            <w:szCs w:val="18"/>
          </w:rPr>
          <w:t>Acquista da VP</w:t>
        </w:r>
      </w:hyperlink>
    </w:p>
    <w:p w14:paraId="5971D36C" w14:textId="46369ED2" w:rsidR="006772D2" w:rsidRPr="00396DFF" w:rsidRDefault="006772D2" w:rsidP="00396DFF">
      <w:pPr>
        <w:pStyle w:val="Testo1"/>
      </w:pPr>
      <w:r w:rsidRPr="00396DFF">
        <w:t>Letture consigliate</w:t>
      </w:r>
    </w:p>
    <w:p w14:paraId="7EC8C38D" w14:textId="3877BE0C" w:rsidR="006772D2" w:rsidRPr="00F82642" w:rsidRDefault="006772D2" w:rsidP="006772D2">
      <w:pPr>
        <w:rPr>
          <w:sz w:val="18"/>
          <w:szCs w:val="18"/>
        </w:rPr>
      </w:pPr>
      <w:r w:rsidRPr="00F82642">
        <w:rPr>
          <w:sz w:val="18"/>
          <w:szCs w:val="18"/>
        </w:rPr>
        <w:t>Ulteriori suggerimenti bi</w:t>
      </w:r>
      <w:r w:rsidR="00BA0278" w:rsidRPr="00F82642">
        <w:rPr>
          <w:sz w:val="18"/>
          <w:szCs w:val="18"/>
        </w:rPr>
        <w:t>bliografici verranno forniti dal</w:t>
      </w:r>
      <w:r w:rsidRPr="00F82642">
        <w:rPr>
          <w:sz w:val="18"/>
          <w:szCs w:val="18"/>
        </w:rPr>
        <w:t xml:space="preserve"> docenti</w:t>
      </w:r>
      <w:r w:rsidR="00396DFF">
        <w:rPr>
          <w:sz w:val="18"/>
          <w:szCs w:val="18"/>
        </w:rPr>
        <w:t xml:space="preserve"> </w:t>
      </w:r>
      <w:r w:rsidR="00BA0278" w:rsidRPr="00F82642">
        <w:rPr>
          <w:sz w:val="18"/>
          <w:szCs w:val="18"/>
        </w:rPr>
        <w:t>e</w:t>
      </w:r>
      <w:r w:rsidRPr="00F82642">
        <w:rPr>
          <w:sz w:val="18"/>
          <w:szCs w:val="18"/>
        </w:rPr>
        <w:t xml:space="preserve"> durante il corso.</w:t>
      </w:r>
    </w:p>
    <w:p w14:paraId="20C432C4" w14:textId="370500FE" w:rsidR="006772D2" w:rsidRPr="00396DFF" w:rsidRDefault="006772D2" w:rsidP="006772D2">
      <w:pPr>
        <w:pStyle w:val="Testo1"/>
        <w:spacing w:line="240" w:lineRule="atLeast"/>
        <w:rPr>
          <w:b/>
          <w:i/>
          <w:spacing w:val="-5"/>
          <w:szCs w:val="16"/>
          <w:lang w:val="en-US"/>
        </w:rPr>
      </w:pPr>
      <w:r w:rsidRPr="00396DFF">
        <w:rPr>
          <w:b/>
          <w:i/>
          <w:spacing w:val="-5"/>
          <w:szCs w:val="16"/>
          <w:lang w:val="en-US"/>
        </w:rPr>
        <w:t>II Modulo</w:t>
      </w:r>
    </w:p>
    <w:p w14:paraId="0C19B4F9" w14:textId="36DB99DF" w:rsidR="00D6503B" w:rsidRPr="00396DFF" w:rsidRDefault="00673BBE" w:rsidP="00396DFF">
      <w:pPr>
        <w:pStyle w:val="Testo1"/>
        <w:rPr>
          <w:lang w:val="en-US"/>
        </w:rPr>
      </w:pPr>
      <w:r w:rsidRPr="00396DFF">
        <w:rPr>
          <w:lang w:val="en-US"/>
        </w:rPr>
        <w:tab/>
        <w:t xml:space="preserve">Letture Obbligatorie </w:t>
      </w:r>
    </w:p>
    <w:p w14:paraId="5140689B" w14:textId="77777777" w:rsidR="00D6503B" w:rsidRPr="00F82642" w:rsidRDefault="00D6503B" w:rsidP="00D6503B">
      <w:pPr>
        <w:pStyle w:val="Testo1"/>
        <w:spacing w:before="0" w:line="240" w:lineRule="auto"/>
        <w:jc w:val="left"/>
        <w:rPr>
          <w:smallCaps/>
          <w:spacing w:val="-5"/>
          <w:szCs w:val="18"/>
          <w:lang w:val="en-US"/>
        </w:rPr>
      </w:pPr>
      <w:bookmarkStart w:id="8" w:name="_Hlk29915640"/>
      <w:r w:rsidRPr="00F82642">
        <w:rPr>
          <w:smallCaps/>
          <w:spacing w:val="-5"/>
          <w:szCs w:val="18"/>
          <w:lang w:val="en-US"/>
        </w:rPr>
        <w:t xml:space="preserve">BIS , </w:t>
      </w:r>
      <w:r w:rsidRPr="00F82642">
        <w:rPr>
          <w:i/>
          <w:spacing w:val="-5"/>
          <w:szCs w:val="18"/>
          <w:lang w:val="en-US"/>
        </w:rPr>
        <w:t>Triennial Central Bank Survey</w:t>
      </w:r>
      <w:r w:rsidRPr="00F82642">
        <w:rPr>
          <w:smallCaps/>
          <w:spacing w:val="-5"/>
          <w:szCs w:val="18"/>
          <w:lang w:val="en-US"/>
        </w:rPr>
        <w:t xml:space="preserve"> ,</w:t>
      </w:r>
      <w:r w:rsidRPr="00F82642">
        <w:rPr>
          <w:spacing w:val="-5"/>
          <w:szCs w:val="18"/>
          <w:lang w:val="en-US"/>
        </w:rPr>
        <w:t>Global Foreign Echange Turnover in 2019</w:t>
      </w:r>
      <w:r w:rsidRPr="00F82642">
        <w:rPr>
          <w:smallCaps/>
          <w:spacing w:val="-5"/>
          <w:szCs w:val="18"/>
          <w:lang w:val="en-US"/>
        </w:rPr>
        <w:t xml:space="preserve"> </w:t>
      </w:r>
      <w:bookmarkEnd w:id="8"/>
    </w:p>
    <w:p w14:paraId="44EC538B" w14:textId="18E19A1E" w:rsidR="00D6503B" w:rsidRPr="00F82642" w:rsidRDefault="00396DFF" w:rsidP="00396DFF">
      <w:pPr>
        <w:pStyle w:val="Testo1"/>
        <w:spacing w:before="0" w:line="240" w:lineRule="auto"/>
        <w:jc w:val="left"/>
        <w:rPr>
          <w:spacing w:val="-5"/>
          <w:szCs w:val="18"/>
          <w:lang w:val="en-US"/>
        </w:rPr>
      </w:pPr>
      <w:r w:rsidRPr="00F82642">
        <w:rPr>
          <w:smallCaps/>
          <w:spacing w:val="-5"/>
          <w:szCs w:val="18"/>
          <w:lang w:val="en-US"/>
        </w:rPr>
        <w:t>A</w:t>
      </w:r>
      <w:r>
        <w:rPr>
          <w:smallCaps/>
          <w:spacing w:val="-5"/>
          <w:szCs w:val="18"/>
          <w:lang w:val="en-US"/>
        </w:rPr>
        <w:t>.</w:t>
      </w:r>
      <w:r w:rsidRPr="00F82642">
        <w:rPr>
          <w:smallCaps/>
          <w:spacing w:val="-5"/>
          <w:szCs w:val="18"/>
          <w:lang w:val="en-US"/>
        </w:rPr>
        <w:t xml:space="preserve"> Schrimpf</w:t>
      </w:r>
      <w:r>
        <w:rPr>
          <w:smallCaps/>
          <w:spacing w:val="-5"/>
          <w:szCs w:val="18"/>
          <w:lang w:val="en-US"/>
        </w:rPr>
        <w:t>-</w:t>
      </w:r>
      <w:r w:rsidRPr="00F82642">
        <w:rPr>
          <w:smallCaps/>
          <w:spacing w:val="-5"/>
          <w:szCs w:val="18"/>
          <w:lang w:val="en-US"/>
        </w:rPr>
        <w:t>V</w:t>
      </w:r>
      <w:r>
        <w:rPr>
          <w:smallCaps/>
          <w:spacing w:val="-5"/>
          <w:szCs w:val="18"/>
          <w:lang w:val="en-US"/>
        </w:rPr>
        <w:t>.</w:t>
      </w:r>
      <w:r w:rsidRPr="00F82642">
        <w:rPr>
          <w:smallCaps/>
          <w:spacing w:val="-5"/>
          <w:szCs w:val="18"/>
          <w:lang w:val="en-US"/>
        </w:rPr>
        <w:t xml:space="preserve"> Sushko</w:t>
      </w:r>
      <w:r w:rsidR="00D6503B" w:rsidRPr="00F82642">
        <w:rPr>
          <w:spacing w:val="-5"/>
          <w:szCs w:val="18"/>
          <w:lang w:val="en-US"/>
        </w:rPr>
        <w:t>,</w:t>
      </w:r>
      <w:r>
        <w:rPr>
          <w:spacing w:val="-5"/>
          <w:szCs w:val="18"/>
          <w:lang w:val="en-US"/>
        </w:rPr>
        <w:t xml:space="preserve"> </w:t>
      </w:r>
      <w:r w:rsidR="00D6503B" w:rsidRPr="00F82642">
        <w:rPr>
          <w:i/>
          <w:spacing w:val="-5"/>
          <w:szCs w:val="18"/>
          <w:lang w:val="en-US"/>
        </w:rPr>
        <w:t>Sizing up global foreign exchange markets,</w:t>
      </w:r>
      <w:r>
        <w:rPr>
          <w:i/>
          <w:spacing w:val="-5"/>
          <w:szCs w:val="18"/>
          <w:lang w:val="en-US"/>
        </w:rPr>
        <w:t xml:space="preserve"> </w:t>
      </w:r>
      <w:r w:rsidR="00D6503B" w:rsidRPr="00F82642">
        <w:rPr>
          <w:smallCaps/>
          <w:spacing w:val="-5"/>
          <w:szCs w:val="18"/>
          <w:lang w:val="en-US"/>
        </w:rPr>
        <w:t>BIS</w:t>
      </w:r>
      <w:r w:rsidR="00D6503B" w:rsidRPr="00F82642">
        <w:rPr>
          <w:spacing w:val="-5"/>
          <w:szCs w:val="18"/>
          <w:lang w:val="en-US"/>
        </w:rPr>
        <w:t xml:space="preserve"> Quarterly Review,</w:t>
      </w:r>
      <w:r>
        <w:rPr>
          <w:spacing w:val="-5"/>
          <w:szCs w:val="18"/>
          <w:lang w:val="en-US"/>
        </w:rPr>
        <w:t xml:space="preserve"> </w:t>
      </w:r>
      <w:r w:rsidR="00D6503B" w:rsidRPr="00F82642">
        <w:rPr>
          <w:spacing w:val="-5"/>
          <w:szCs w:val="18"/>
          <w:lang w:val="en-US"/>
        </w:rPr>
        <w:t>December 2019</w:t>
      </w:r>
      <w:r>
        <w:rPr>
          <w:spacing w:val="-5"/>
          <w:szCs w:val="18"/>
          <w:lang w:val="en-US"/>
        </w:rPr>
        <w:t>.</w:t>
      </w:r>
    </w:p>
    <w:p w14:paraId="394DCD18" w14:textId="5EA9886F" w:rsidR="00D6503B" w:rsidRPr="00F82642" w:rsidRDefault="00396DFF" w:rsidP="00D6503B">
      <w:pPr>
        <w:pStyle w:val="Testo1"/>
        <w:spacing w:before="0" w:line="240" w:lineRule="auto"/>
        <w:jc w:val="left"/>
        <w:rPr>
          <w:i/>
          <w:spacing w:val="-5"/>
          <w:szCs w:val="18"/>
          <w:lang w:val="en-US"/>
        </w:rPr>
      </w:pPr>
      <w:bookmarkStart w:id="9" w:name="_Hlk70491299"/>
      <w:r w:rsidRPr="00F82642">
        <w:rPr>
          <w:smallCaps/>
          <w:spacing w:val="-5"/>
          <w:szCs w:val="18"/>
          <w:lang w:val="en-US"/>
        </w:rPr>
        <w:t>Ilzetzki</w:t>
      </w:r>
      <w:r>
        <w:rPr>
          <w:smallCaps/>
          <w:spacing w:val="-5"/>
          <w:szCs w:val="18"/>
          <w:lang w:val="en-US"/>
        </w:rPr>
        <w:t>-</w:t>
      </w:r>
      <w:r w:rsidRPr="00F82642">
        <w:rPr>
          <w:smallCaps/>
          <w:spacing w:val="-5"/>
          <w:szCs w:val="18"/>
          <w:lang w:val="en-US"/>
        </w:rPr>
        <w:t>Reinhart</w:t>
      </w:r>
      <w:r>
        <w:rPr>
          <w:smallCaps/>
          <w:spacing w:val="-5"/>
          <w:szCs w:val="18"/>
          <w:lang w:val="en-US"/>
        </w:rPr>
        <w:t>-</w:t>
      </w:r>
      <w:r w:rsidRPr="00F82642">
        <w:rPr>
          <w:smallCaps/>
          <w:spacing w:val="-5"/>
          <w:szCs w:val="18"/>
          <w:lang w:val="en-US"/>
        </w:rPr>
        <w:t>Rogof</w:t>
      </w:r>
      <w:bookmarkEnd w:id="9"/>
      <w:r w:rsidR="00D6503B" w:rsidRPr="00396DFF">
        <w:rPr>
          <w:smallCaps/>
          <w:spacing w:val="-5"/>
          <w:szCs w:val="18"/>
          <w:lang w:val="en-US"/>
        </w:rPr>
        <w:t xml:space="preserve">, </w:t>
      </w:r>
      <w:r w:rsidR="00D6503B" w:rsidRPr="00F82642">
        <w:rPr>
          <w:i/>
          <w:spacing w:val="-5"/>
          <w:szCs w:val="18"/>
          <w:lang w:val="en-US"/>
        </w:rPr>
        <w:t>Exchange Arrangements Entering the 21st Century: Which Anchor</w:t>
      </w:r>
    </w:p>
    <w:p w14:paraId="78C1E423" w14:textId="2CED3947" w:rsidR="00D6503B" w:rsidRPr="00F82642" w:rsidRDefault="00D6503B" w:rsidP="00D6503B">
      <w:pPr>
        <w:pStyle w:val="Testo1"/>
        <w:spacing w:before="0" w:line="240" w:lineRule="auto"/>
        <w:ind w:firstLine="0"/>
        <w:jc w:val="left"/>
        <w:rPr>
          <w:spacing w:val="-5"/>
          <w:szCs w:val="18"/>
          <w:lang w:val="en-US"/>
        </w:rPr>
      </w:pPr>
      <w:r w:rsidRPr="00F82642">
        <w:rPr>
          <w:i/>
          <w:spacing w:val="-5"/>
          <w:szCs w:val="18"/>
          <w:lang w:val="en-US"/>
        </w:rPr>
        <w:lastRenderedPageBreak/>
        <w:t xml:space="preserve">Will Hold? </w:t>
      </w:r>
      <w:r w:rsidRPr="00F82642">
        <w:rPr>
          <w:spacing w:val="-5"/>
          <w:szCs w:val="18"/>
          <w:lang w:val="en-US"/>
        </w:rPr>
        <w:t>NBER February 2017</w:t>
      </w:r>
      <w:r w:rsidR="00396DFF">
        <w:rPr>
          <w:spacing w:val="-5"/>
          <w:szCs w:val="18"/>
          <w:lang w:val="en-US"/>
        </w:rPr>
        <w:t>.</w:t>
      </w:r>
    </w:p>
    <w:p w14:paraId="415A0B6D" w14:textId="635AC966" w:rsidR="00D6503B" w:rsidRPr="00F82642" w:rsidRDefault="00396DFF" w:rsidP="00D6503B">
      <w:pPr>
        <w:pStyle w:val="Testo1"/>
        <w:spacing w:before="0" w:line="240" w:lineRule="auto"/>
        <w:rPr>
          <w:spacing w:val="-5"/>
          <w:szCs w:val="18"/>
          <w:lang w:val="en-US"/>
        </w:rPr>
      </w:pPr>
      <w:r w:rsidRPr="00396DFF">
        <w:rPr>
          <w:smallCaps/>
          <w:spacing w:val="-5"/>
          <w:szCs w:val="18"/>
          <w:lang w:val="en-US"/>
        </w:rPr>
        <w:t>Ilzetzki-Reinhart-Rogof</w:t>
      </w:r>
      <w:r>
        <w:rPr>
          <w:spacing w:val="-5"/>
          <w:szCs w:val="18"/>
          <w:lang w:val="en-US"/>
        </w:rPr>
        <w:t>,</w:t>
      </w:r>
      <w:r w:rsidRPr="00F82642">
        <w:rPr>
          <w:spacing w:val="-5"/>
          <w:szCs w:val="18"/>
          <w:lang w:val="en-US"/>
        </w:rPr>
        <w:t xml:space="preserve"> </w:t>
      </w:r>
      <w:r w:rsidR="00D6503B" w:rsidRPr="00F82642">
        <w:rPr>
          <w:i/>
          <w:spacing w:val="-5"/>
          <w:szCs w:val="18"/>
          <w:lang w:val="en-US"/>
        </w:rPr>
        <w:t>Will the Secular Decline in Exchange Rate and Inflation Volatility Survive COVID-19 ?</w:t>
      </w:r>
      <w:r w:rsidR="00D6503B" w:rsidRPr="00F82642">
        <w:rPr>
          <w:spacing w:val="-5"/>
          <w:szCs w:val="18"/>
          <w:lang w:val="en-US"/>
        </w:rPr>
        <w:t>Brokooing Paper</w:t>
      </w:r>
      <w:r>
        <w:rPr>
          <w:spacing w:val="-5"/>
          <w:szCs w:val="18"/>
          <w:lang w:val="en-US"/>
        </w:rPr>
        <w:t xml:space="preserve"> </w:t>
      </w:r>
      <w:r w:rsidR="00D6503B" w:rsidRPr="00F82642">
        <w:rPr>
          <w:spacing w:val="-5"/>
          <w:szCs w:val="18"/>
          <w:lang w:val="en-US"/>
        </w:rPr>
        <w:t>BPEA Conference Drafts, September 24, 2020</w:t>
      </w:r>
      <w:r>
        <w:rPr>
          <w:spacing w:val="-5"/>
          <w:szCs w:val="18"/>
          <w:lang w:val="en-US"/>
        </w:rPr>
        <w:t>.</w:t>
      </w:r>
    </w:p>
    <w:p w14:paraId="3675200D" w14:textId="64BBC5FF" w:rsidR="00D6503B" w:rsidRPr="00F82642" w:rsidRDefault="00396DFF" w:rsidP="00D6503B">
      <w:pPr>
        <w:pStyle w:val="Testo1"/>
        <w:spacing w:before="0" w:line="240" w:lineRule="auto"/>
        <w:jc w:val="left"/>
        <w:rPr>
          <w:spacing w:val="-5"/>
          <w:szCs w:val="18"/>
          <w:lang w:val="en-US"/>
        </w:rPr>
      </w:pPr>
      <w:r w:rsidRPr="00396DFF">
        <w:rPr>
          <w:smallCaps/>
          <w:spacing w:val="-5"/>
          <w:szCs w:val="18"/>
          <w:lang w:val="en-US"/>
        </w:rPr>
        <w:t>Alesina-Tabellini-Trebbi</w:t>
      </w:r>
      <w:r w:rsidR="00D6503B" w:rsidRPr="00F82642">
        <w:rPr>
          <w:smallCaps/>
          <w:spacing w:val="-5"/>
          <w:szCs w:val="18"/>
          <w:lang w:val="en-US"/>
        </w:rPr>
        <w:t xml:space="preserve">, </w:t>
      </w:r>
      <w:r w:rsidR="00D6503B" w:rsidRPr="00F82642">
        <w:rPr>
          <w:i/>
          <w:spacing w:val="-5"/>
          <w:szCs w:val="18"/>
          <w:lang w:val="en-US"/>
        </w:rPr>
        <w:t xml:space="preserve">Is Europe an optimal poltical area? </w:t>
      </w:r>
      <w:r w:rsidR="00D6503B" w:rsidRPr="00F82642">
        <w:rPr>
          <w:spacing w:val="-5"/>
          <w:szCs w:val="18"/>
          <w:lang w:val="en-US"/>
        </w:rPr>
        <w:t>Brookings Papers, March 2017</w:t>
      </w:r>
    </w:p>
    <w:p w14:paraId="465B6931" w14:textId="749DC350" w:rsidR="00D6503B" w:rsidRPr="00F82642" w:rsidRDefault="00396DFF" w:rsidP="00D6503B">
      <w:pPr>
        <w:pStyle w:val="Testo1"/>
        <w:spacing w:before="0" w:line="240" w:lineRule="auto"/>
        <w:jc w:val="left"/>
        <w:rPr>
          <w:spacing w:val="-5"/>
          <w:szCs w:val="18"/>
          <w:lang w:val="en-US"/>
        </w:rPr>
      </w:pPr>
      <w:r>
        <w:rPr>
          <w:smallCaps/>
          <w:spacing w:val="-5"/>
          <w:szCs w:val="18"/>
          <w:lang w:val="en-US"/>
        </w:rPr>
        <w:t>M. Brunnermeier</w:t>
      </w:r>
      <w:r w:rsidRPr="00F82642">
        <w:rPr>
          <w:smallCaps/>
          <w:spacing w:val="-5"/>
          <w:szCs w:val="18"/>
          <w:lang w:val="en-US"/>
        </w:rPr>
        <w:t>-R. Reis</w:t>
      </w:r>
      <w:r w:rsidR="00D6503B" w:rsidRPr="00F82642">
        <w:rPr>
          <w:spacing w:val="-5"/>
          <w:szCs w:val="18"/>
          <w:lang w:val="en-US"/>
        </w:rPr>
        <w:t xml:space="preserve">, </w:t>
      </w:r>
      <w:r w:rsidR="00D6503B" w:rsidRPr="00F82642">
        <w:rPr>
          <w:i/>
          <w:spacing w:val="-5"/>
          <w:szCs w:val="18"/>
          <w:lang w:val="en-US"/>
        </w:rPr>
        <w:t>A crash course on the euro crisis</w:t>
      </w:r>
      <w:r w:rsidR="00D6503B" w:rsidRPr="00F82642">
        <w:rPr>
          <w:spacing w:val="-5"/>
          <w:szCs w:val="18"/>
          <w:lang w:val="en-US"/>
        </w:rPr>
        <w:t>, August 2019</w:t>
      </w:r>
      <w:r>
        <w:rPr>
          <w:spacing w:val="-5"/>
          <w:szCs w:val="18"/>
          <w:lang w:val="en-US"/>
        </w:rPr>
        <w:t>.</w:t>
      </w:r>
    </w:p>
    <w:p w14:paraId="3BDF47CE" w14:textId="2F42AB9E" w:rsidR="00D6503B" w:rsidRPr="00F82642" w:rsidRDefault="00396DFF" w:rsidP="00D6503B">
      <w:pPr>
        <w:pStyle w:val="Testo1"/>
        <w:spacing w:before="0" w:line="240" w:lineRule="auto"/>
        <w:rPr>
          <w:spacing w:val="-5"/>
          <w:szCs w:val="18"/>
        </w:rPr>
      </w:pPr>
      <w:r w:rsidRPr="00F82642">
        <w:rPr>
          <w:smallCaps/>
          <w:spacing w:val="-5"/>
          <w:szCs w:val="18"/>
        </w:rPr>
        <w:t>R. Hamaui-M. Mauri</w:t>
      </w:r>
      <w:r w:rsidR="00D6503B" w:rsidRPr="00F82642">
        <w:rPr>
          <w:smallCaps/>
          <w:spacing w:val="-5"/>
          <w:szCs w:val="18"/>
        </w:rPr>
        <w:t>,</w:t>
      </w:r>
      <w:r w:rsidR="00D6503B" w:rsidRPr="00F82642">
        <w:rPr>
          <w:i/>
          <w:spacing w:val="-5"/>
          <w:szCs w:val="18"/>
        </w:rPr>
        <w:t xml:space="preserve"> Economia e Finanza Islamica,</w:t>
      </w:r>
      <w:r w:rsidR="00D6503B" w:rsidRPr="00F82642">
        <w:rPr>
          <w:spacing w:val="-5"/>
          <w:szCs w:val="18"/>
        </w:rPr>
        <w:t xml:space="preserve"> Il Mulino, 2009.</w:t>
      </w:r>
      <w:r w:rsidR="00311D8C">
        <w:rPr>
          <w:spacing w:val="-5"/>
          <w:szCs w:val="18"/>
        </w:rPr>
        <w:t xml:space="preserve"> </w:t>
      </w:r>
      <w:hyperlink r:id="rId9" w:history="1">
        <w:r w:rsidR="00311D8C" w:rsidRPr="00311D8C">
          <w:rPr>
            <w:rStyle w:val="Collegamentoipertestuale"/>
            <w:rFonts w:ascii="Times New Roman" w:hAnsi="Times New Roman"/>
            <w:i/>
            <w:szCs w:val="18"/>
          </w:rPr>
          <w:t>Acquista da VP</w:t>
        </w:r>
      </w:hyperlink>
    </w:p>
    <w:p w14:paraId="7FD27CDA" w14:textId="1C50FC68" w:rsidR="00D6503B" w:rsidRPr="00F82642" w:rsidRDefault="00396DFF" w:rsidP="00D6503B">
      <w:pPr>
        <w:pStyle w:val="Testo1"/>
        <w:spacing w:before="0" w:line="240" w:lineRule="auto"/>
        <w:rPr>
          <w:spacing w:val="-5"/>
          <w:szCs w:val="18"/>
        </w:rPr>
      </w:pPr>
      <w:r>
        <w:rPr>
          <w:smallCaps/>
          <w:spacing w:val="-5"/>
          <w:szCs w:val="18"/>
        </w:rPr>
        <w:t>A. Boitani</w:t>
      </w:r>
      <w:r w:rsidRPr="00F82642">
        <w:rPr>
          <w:smallCaps/>
          <w:spacing w:val="-5"/>
          <w:szCs w:val="18"/>
        </w:rPr>
        <w:t>-R. Hamaui</w:t>
      </w:r>
      <w:r w:rsidR="00D6503B" w:rsidRPr="00F82642">
        <w:rPr>
          <w:smallCaps/>
          <w:spacing w:val="-5"/>
          <w:szCs w:val="18"/>
        </w:rPr>
        <w:t>,</w:t>
      </w:r>
      <w:r w:rsidR="00FD4702">
        <w:rPr>
          <w:smallCaps/>
          <w:spacing w:val="-5"/>
          <w:szCs w:val="18"/>
        </w:rPr>
        <w:t xml:space="preserve"> </w:t>
      </w:r>
      <w:r w:rsidR="00D6503B" w:rsidRPr="00F82642">
        <w:rPr>
          <w:i/>
          <w:spacing w:val="-5"/>
          <w:szCs w:val="18"/>
        </w:rPr>
        <w:t>Scusi Prof</w:t>
      </w:r>
      <w:r w:rsidR="00FD4702">
        <w:rPr>
          <w:i/>
          <w:smallCaps/>
          <w:spacing w:val="-5"/>
          <w:szCs w:val="18"/>
        </w:rPr>
        <w:t>.</w:t>
      </w:r>
      <w:r w:rsidR="00D6503B" w:rsidRPr="00F82642">
        <w:rPr>
          <w:i/>
          <w:smallCaps/>
          <w:spacing w:val="-5"/>
          <w:szCs w:val="18"/>
        </w:rPr>
        <w:t xml:space="preserve">, </w:t>
      </w:r>
      <w:r w:rsidR="00D6503B" w:rsidRPr="00F82642">
        <w:rPr>
          <w:i/>
          <w:spacing w:val="-5"/>
          <w:szCs w:val="18"/>
        </w:rPr>
        <w:t>Cos’è il Populismo?</w:t>
      </w:r>
      <w:r w:rsidR="00D6503B" w:rsidRPr="00F82642">
        <w:rPr>
          <w:i/>
          <w:smallCaps/>
          <w:spacing w:val="-5"/>
          <w:szCs w:val="18"/>
        </w:rPr>
        <w:t xml:space="preserve"> ,</w:t>
      </w:r>
      <w:r w:rsidR="00D6503B" w:rsidRPr="00F82642">
        <w:rPr>
          <w:smallCaps/>
          <w:spacing w:val="-5"/>
          <w:szCs w:val="18"/>
        </w:rPr>
        <w:t xml:space="preserve"> </w:t>
      </w:r>
      <w:r w:rsidR="00FD4702">
        <w:rPr>
          <w:spacing w:val="-5"/>
          <w:szCs w:val="18"/>
        </w:rPr>
        <w:t>Vita e Pensiero, 2</w:t>
      </w:r>
      <w:r w:rsidR="00D6503B" w:rsidRPr="00F82642">
        <w:rPr>
          <w:spacing w:val="-5"/>
          <w:szCs w:val="18"/>
        </w:rPr>
        <w:t>019</w:t>
      </w:r>
      <w:r>
        <w:rPr>
          <w:spacing w:val="-5"/>
          <w:szCs w:val="18"/>
        </w:rPr>
        <w:t>.</w:t>
      </w:r>
      <w:r w:rsidR="00311D8C">
        <w:rPr>
          <w:spacing w:val="-5"/>
          <w:szCs w:val="18"/>
        </w:rPr>
        <w:t xml:space="preserve"> </w:t>
      </w:r>
      <w:hyperlink r:id="rId10" w:history="1">
        <w:r w:rsidR="00311D8C" w:rsidRPr="00311D8C">
          <w:rPr>
            <w:rStyle w:val="Collegamentoipertestuale"/>
            <w:rFonts w:ascii="Times New Roman" w:hAnsi="Times New Roman"/>
            <w:i/>
            <w:szCs w:val="18"/>
          </w:rPr>
          <w:t>Acquista da VP</w:t>
        </w:r>
      </w:hyperlink>
    </w:p>
    <w:p w14:paraId="231ED60E" w14:textId="21AADE20" w:rsidR="00D6503B" w:rsidRPr="00673BBE" w:rsidRDefault="00673BBE" w:rsidP="00396DFF">
      <w:pPr>
        <w:pStyle w:val="Testo1"/>
      </w:pPr>
      <w:r>
        <w:tab/>
      </w:r>
      <w:r w:rsidR="00D6503B" w:rsidRPr="00673BBE">
        <w:t>Letture consigliate</w:t>
      </w:r>
    </w:p>
    <w:p w14:paraId="241DFB0E" w14:textId="77777777" w:rsidR="00D6503B" w:rsidRDefault="00D6503B" w:rsidP="00D6503B">
      <w:pPr>
        <w:pStyle w:val="Testo1"/>
        <w:spacing w:before="0" w:line="240" w:lineRule="auto"/>
      </w:pPr>
      <w:r>
        <w:t>Ulteriori suggerimenti bibliografici verranno forniti dai docenti durante il corso.</w:t>
      </w:r>
    </w:p>
    <w:p w14:paraId="6A0F2E5C" w14:textId="77777777" w:rsidR="00A93F08" w:rsidRPr="006772D2" w:rsidRDefault="00A93F08" w:rsidP="00A93F08">
      <w:pPr>
        <w:spacing w:before="240" w:after="120" w:line="220" w:lineRule="exact"/>
        <w:rPr>
          <w:b/>
          <w:i/>
          <w:sz w:val="18"/>
        </w:rPr>
      </w:pPr>
      <w:r w:rsidRPr="006772D2">
        <w:rPr>
          <w:b/>
          <w:i/>
          <w:sz w:val="18"/>
        </w:rPr>
        <w:t>DIDATTICA DEL CORSO</w:t>
      </w:r>
    </w:p>
    <w:p w14:paraId="63725EE1" w14:textId="77777777" w:rsidR="00A93F08" w:rsidRPr="006772D2" w:rsidRDefault="00A93F08" w:rsidP="00A93F08">
      <w:pPr>
        <w:pStyle w:val="Testo2"/>
      </w:pPr>
      <w:r w:rsidRPr="006772D2">
        <w:t xml:space="preserve">Il corso, che si basa su due moduli di lezioni frontali, è integrato da alcune esercitazioni volte ad acquisire dimestichezza con l’analisi dei tassi di cambio e le strategie di arbitraggio e di portafoglio. Tali esercitazioni sono parte integrante dell’esame. </w:t>
      </w:r>
    </w:p>
    <w:p w14:paraId="35AEC750" w14:textId="77777777" w:rsidR="00A93F08" w:rsidRPr="006772D2" w:rsidRDefault="00A93F08" w:rsidP="00A93F08">
      <w:pPr>
        <w:pStyle w:val="Testo2"/>
      </w:pPr>
      <w:r w:rsidRPr="006772D2">
        <w:t xml:space="preserve">Il corso prevede una parte di discussione e monitoraggio dell’andamento dei mercati finanziari volto a fornire agli studenti le chiavi di lettura dei principali dati macroeconomici e delle principali correlazioni che influenzano le dinamiche dei mercati finanziari internazionali. </w:t>
      </w:r>
    </w:p>
    <w:p w14:paraId="0D211F48" w14:textId="77777777" w:rsidR="00A93F08" w:rsidRPr="006772D2" w:rsidRDefault="00A93F08" w:rsidP="00A93F08">
      <w:pPr>
        <w:spacing w:before="240" w:after="120" w:line="220" w:lineRule="exact"/>
        <w:rPr>
          <w:b/>
          <w:i/>
          <w:sz w:val="18"/>
        </w:rPr>
      </w:pPr>
      <w:r w:rsidRPr="006772D2">
        <w:rPr>
          <w:b/>
          <w:i/>
          <w:sz w:val="18"/>
        </w:rPr>
        <w:t xml:space="preserve">METODO </w:t>
      </w:r>
      <w:r w:rsidR="00E4028C" w:rsidRPr="006772D2">
        <w:rPr>
          <w:b/>
          <w:i/>
          <w:sz w:val="18"/>
        </w:rPr>
        <w:t xml:space="preserve">E CRITERI </w:t>
      </w:r>
      <w:r w:rsidRPr="006772D2">
        <w:rPr>
          <w:b/>
          <w:i/>
          <w:sz w:val="18"/>
        </w:rPr>
        <w:t>DI VALUTAZIONE</w:t>
      </w:r>
    </w:p>
    <w:p w14:paraId="4AB9D11E" w14:textId="77777777" w:rsidR="00A93F08" w:rsidRPr="006772D2" w:rsidRDefault="00A93F08" w:rsidP="00A93F08">
      <w:pPr>
        <w:pStyle w:val="Testo2"/>
      </w:pPr>
      <w:r w:rsidRPr="006772D2">
        <w:t xml:space="preserve">Il corso prevede una prova scritta finale, di 2 ore complessivamente, da affrontare </w:t>
      </w:r>
      <w:r w:rsidRPr="006772D2">
        <w:rPr>
          <w:i/>
        </w:rPr>
        <w:t xml:space="preserve">nello stesso appello </w:t>
      </w:r>
      <w:r w:rsidRPr="006772D2">
        <w:t>su entrambi i moduli, tesa ad accertare sia la preparazione teorica che le capacità applicative (mediante esercizi quantitativi) sui temi affrontati in aula. Il primo modulo ha un peso di 4/7; il secondo un peso di 3/7 nella media dei voti. L’esame è superato se la media complessiva è maggiore o uguale a 18/30 e se in ciascun modulo è stato raggiunto almeno il punteggio di 16/30.</w:t>
      </w:r>
    </w:p>
    <w:p w14:paraId="55983C12" w14:textId="77777777" w:rsidR="00E4028C" w:rsidRPr="006772D2" w:rsidRDefault="00E4028C" w:rsidP="00E4028C">
      <w:pPr>
        <w:pStyle w:val="Testo2"/>
      </w:pPr>
      <w:r w:rsidRPr="006772D2">
        <w:t>Ai fini della valutazione concorreranno la pertinenza delle risposte, l’uso appropriato della terminologia scientifica, la strutturazione argomentata, la capacità di individuare nessi concettuali in maniera sintetica e di risolvere</w:t>
      </w:r>
      <w:r w:rsidR="005733C9" w:rsidRPr="006772D2">
        <w:t xml:space="preserve"> analiticamente</w:t>
      </w:r>
      <w:r w:rsidRPr="006772D2">
        <w:t xml:space="preserve"> i problemi posti.</w:t>
      </w:r>
    </w:p>
    <w:p w14:paraId="4C456604" w14:textId="77777777" w:rsidR="00A93F08" w:rsidRPr="006772D2" w:rsidRDefault="00A93F08" w:rsidP="00A93F08">
      <w:pPr>
        <w:spacing w:before="240" w:after="120"/>
        <w:rPr>
          <w:b/>
          <w:bCs/>
          <w:i/>
          <w:iCs/>
          <w:sz w:val="18"/>
        </w:rPr>
      </w:pPr>
      <w:r w:rsidRPr="006772D2">
        <w:rPr>
          <w:b/>
          <w:i/>
          <w:sz w:val="18"/>
        </w:rPr>
        <w:t>AVVERTENZE</w:t>
      </w:r>
      <w:r w:rsidR="00E4028C" w:rsidRPr="006772D2">
        <w:rPr>
          <w:b/>
          <w:i/>
          <w:sz w:val="18"/>
        </w:rPr>
        <w:t xml:space="preserve"> </w:t>
      </w:r>
      <w:r w:rsidR="00E4028C" w:rsidRPr="006772D2">
        <w:rPr>
          <w:b/>
          <w:bCs/>
          <w:i/>
          <w:iCs/>
          <w:sz w:val="18"/>
        </w:rPr>
        <w:t>E PREREQUISITI</w:t>
      </w:r>
    </w:p>
    <w:p w14:paraId="1D677B60" w14:textId="03A6C539" w:rsidR="00C132A6" w:rsidRPr="006772D2" w:rsidRDefault="00E4028C" w:rsidP="00C132A6">
      <w:pPr>
        <w:pStyle w:val="Testo2"/>
      </w:pPr>
      <w:r w:rsidRPr="006772D2">
        <w:t>Lo studente dovrà possedere le conoscenze di base di microeconomia e</w:t>
      </w:r>
      <w:r w:rsidR="00396DFF">
        <w:t xml:space="preserve"> </w:t>
      </w:r>
      <w:r w:rsidRPr="006772D2">
        <w:t>macroeconomia</w:t>
      </w:r>
      <w:r w:rsidR="005733C9" w:rsidRPr="006772D2">
        <w:t xml:space="preserve"> acquisibili i</w:t>
      </w:r>
      <w:r w:rsidR="001868EA" w:rsidRPr="006772D2">
        <w:t xml:space="preserve">n un corso di laurea triennale, con particolare riferimento ai </w:t>
      </w:r>
      <w:r w:rsidR="00C132A6" w:rsidRPr="006772D2">
        <w:t>seguenti argomenti:</w:t>
      </w:r>
    </w:p>
    <w:p w14:paraId="25F4D623" w14:textId="77777777" w:rsidR="00C132A6" w:rsidRPr="006772D2" w:rsidRDefault="00C132A6" w:rsidP="00C132A6">
      <w:pPr>
        <w:pStyle w:val="Testo2"/>
        <w:ind w:firstLine="0"/>
      </w:pPr>
      <w:r w:rsidRPr="006772D2">
        <w:rPr>
          <w:i/>
        </w:rPr>
        <w:t>–</w:t>
      </w:r>
      <w:r w:rsidRPr="006772D2">
        <w:rPr>
          <w:i/>
        </w:rPr>
        <w:tab/>
      </w:r>
      <w:r w:rsidRPr="006772D2">
        <w:t>ottimizzazione statica e scelta del consumatore;</w:t>
      </w:r>
    </w:p>
    <w:p w14:paraId="3CC7C266" w14:textId="77777777" w:rsidR="00C132A6" w:rsidRPr="006772D2" w:rsidRDefault="00C132A6" w:rsidP="00C132A6">
      <w:pPr>
        <w:pStyle w:val="Testo2"/>
        <w:ind w:firstLine="0"/>
      </w:pPr>
      <w:r w:rsidRPr="006772D2">
        <w:rPr>
          <w:i/>
        </w:rPr>
        <w:t>–</w:t>
      </w:r>
      <w:r w:rsidRPr="006772D2">
        <w:rPr>
          <w:i/>
        </w:rPr>
        <w:tab/>
      </w:r>
      <w:r w:rsidRPr="006772D2">
        <w:t>modelli macroeconomici di lungo periodo;</w:t>
      </w:r>
    </w:p>
    <w:p w14:paraId="56799A0C" w14:textId="77777777" w:rsidR="00C132A6" w:rsidRPr="006772D2" w:rsidRDefault="00C132A6" w:rsidP="00C132A6">
      <w:pPr>
        <w:pStyle w:val="Testo2"/>
        <w:ind w:firstLine="0"/>
      </w:pPr>
      <w:r w:rsidRPr="006772D2">
        <w:rPr>
          <w:i/>
        </w:rPr>
        <w:t>–</w:t>
      </w:r>
      <w:r w:rsidRPr="006772D2">
        <w:rPr>
          <w:i/>
        </w:rPr>
        <w:tab/>
      </w:r>
      <w:r w:rsidRPr="006772D2">
        <w:t>modelli macroeconomici di breve periodo (reddito-spesa, IS-RT, IS-RT-BP in economia aperta);</w:t>
      </w:r>
    </w:p>
    <w:p w14:paraId="121793C8" w14:textId="77777777" w:rsidR="00C132A6" w:rsidRPr="006772D2" w:rsidRDefault="00C132A6" w:rsidP="00C132A6">
      <w:pPr>
        <w:pStyle w:val="Testo2"/>
        <w:ind w:firstLine="0"/>
      </w:pPr>
      <w:r w:rsidRPr="006772D2">
        <w:rPr>
          <w:i/>
        </w:rPr>
        <w:t>–</w:t>
      </w:r>
      <w:r w:rsidRPr="006772D2">
        <w:rPr>
          <w:i/>
        </w:rPr>
        <w:tab/>
      </w:r>
      <w:r w:rsidRPr="006772D2">
        <w:t>modelli macroeconomici di medio periodo (curva di Phillips aumentata per le aspettative, modello AD-AS con AS dinamica).</w:t>
      </w:r>
    </w:p>
    <w:p w14:paraId="2D8D15D5" w14:textId="50E9E4CF" w:rsidR="00C132A6" w:rsidRPr="006772D2" w:rsidRDefault="00C132A6" w:rsidP="00C132A6">
      <w:pPr>
        <w:pStyle w:val="Testo2"/>
      </w:pPr>
      <w:r w:rsidRPr="006772D2">
        <w:t>A chi non avesse familiarità con questi argomenti è suggerito di studiarli prima di iniziare a frequentare il corso. Utili riferimenti sono i seguenti testi: K. Sydsǽter-P. Hammond,</w:t>
      </w:r>
      <w:r w:rsidRPr="006772D2">
        <w:rPr>
          <w:i/>
        </w:rPr>
        <w:t xml:space="preserve"> </w:t>
      </w:r>
      <w:r w:rsidRPr="006772D2">
        <w:rPr>
          <w:i/>
          <w:iCs/>
        </w:rPr>
        <w:t>Manuale di matematica per l’analisi economica</w:t>
      </w:r>
      <w:r w:rsidR="001868EA" w:rsidRPr="006772D2">
        <w:rPr>
          <w:i/>
          <w:iCs/>
        </w:rPr>
        <w:t xml:space="preserve"> e finanziaria</w:t>
      </w:r>
      <w:r w:rsidRPr="006772D2">
        <w:rPr>
          <w:i/>
        </w:rPr>
        <w:t>,</w:t>
      </w:r>
      <w:r w:rsidRPr="006772D2">
        <w:t xml:space="preserve"> </w:t>
      </w:r>
      <w:r w:rsidR="001868EA" w:rsidRPr="006772D2">
        <w:t>Pearson, 2015</w:t>
      </w:r>
      <w:r w:rsidRPr="006772D2">
        <w:t>, cap.</w:t>
      </w:r>
      <w:r w:rsidR="001868EA" w:rsidRPr="006772D2">
        <w:t xml:space="preserve"> 8-11</w:t>
      </w:r>
      <w:r w:rsidR="00311D8C" w:rsidRPr="00311D8C">
        <w:rPr>
          <w:rFonts w:ascii="Times New Roman" w:hAnsi="Times New Roman"/>
          <w:i/>
          <w:color w:val="0070C0"/>
          <w:szCs w:val="18"/>
        </w:rPr>
        <w:t xml:space="preserve"> </w:t>
      </w:r>
      <w:hyperlink r:id="rId11" w:history="1">
        <w:r w:rsidR="00311D8C" w:rsidRPr="00311D8C">
          <w:rPr>
            <w:rStyle w:val="Collegamentoipertestuale"/>
            <w:rFonts w:ascii="Times New Roman" w:hAnsi="Times New Roman"/>
            <w:i/>
            <w:szCs w:val="18"/>
          </w:rPr>
          <w:t>Acquista da VP</w:t>
        </w:r>
      </w:hyperlink>
      <w:r w:rsidRPr="006772D2">
        <w:t>; A. Boitani,</w:t>
      </w:r>
      <w:r w:rsidRPr="006772D2">
        <w:rPr>
          <w:i/>
        </w:rPr>
        <w:t xml:space="preserve"> </w:t>
      </w:r>
      <w:r w:rsidRPr="006772D2">
        <w:rPr>
          <w:i/>
          <w:iCs/>
        </w:rPr>
        <w:t>Macroeconomia</w:t>
      </w:r>
      <w:r w:rsidRPr="006772D2">
        <w:rPr>
          <w:i/>
        </w:rPr>
        <w:t>,</w:t>
      </w:r>
      <w:r w:rsidRPr="006772D2">
        <w:t xml:space="preserve"> Il Mulino, 2019, cap. 6-14 </w:t>
      </w:r>
      <w:hyperlink r:id="rId12" w:history="1">
        <w:r w:rsidR="00311D8C" w:rsidRPr="00311D8C">
          <w:rPr>
            <w:rStyle w:val="Collegamentoipertestuale"/>
            <w:rFonts w:ascii="Times New Roman" w:hAnsi="Times New Roman"/>
            <w:i/>
            <w:szCs w:val="18"/>
          </w:rPr>
          <w:t>Acquista da VP</w:t>
        </w:r>
      </w:hyperlink>
      <w:r w:rsidR="00311D8C" w:rsidRPr="006772D2">
        <w:t xml:space="preserve"> </w:t>
      </w:r>
      <w:r w:rsidRPr="006772D2">
        <w:t>oppure O. Blanchard-A. Amighini-F. Giavazzi,</w:t>
      </w:r>
      <w:r w:rsidRPr="006772D2">
        <w:rPr>
          <w:i/>
        </w:rPr>
        <w:t xml:space="preserve"> </w:t>
      </w:r>
      <w:r w:rsidRPr="006772D2">
        <w:rPr>
          <w:i/>
          <w:iCs/>
        </w:rPr>
        <w:t>Macroeconomia</w:t>
      </w:r>
      <w:r w:rsidRPr="006772D2">
        <w:rPr>
          <w:i/>
        </w:rPr>
        <w:t>,</w:t>
      </w:r>
      <w:r w:rsidRPr="006772D2">
        <w:t xml:space="preserve"> Il Mulino, 2014 cap. 2-9 e 17-20.</w:t>
      </w:r>
      <w:r w:rsidR="00311D8C">
        <w:t xml:space="preserve"> </w:t>
      </w:r>
      <w:hyperlink r:id="rId13" w:history="1">
        <w:r w:rsidR="00311D8C" w:rsidRPr="00311D8C">
          <w:rPr>
            <w:rStyle w:val="Collegamentoipertestuale"/>
            <w:rFonts w:ascii="Times New Roman" w:hAnsi="Times New Roman"/>
            <w:i/>
            <w:szCs w:val="18"/>
          </w:rPr>
          <w:t>Acquista da VP</w:t>
        </w:r>
      </w:hyperlink>
    </w:p>
    <w:p w14:paraId="74810C1C" w14:textId="77777777" w:rsidR="00A93F08" w:rsidRPr="006772D2" w:rsidRDefault="00A93F08" w:rsidP="00CB2C06">
      <w:pPr>
        <w:pStyle w:val="Testo2"/>
        <w:spacing w:before="120"/>
        <w:rPr>
          <w:i/>
        </w:rPr>
      </w:pPr>
      <w:r w:rsidRPr="006772D2">
        <w:rPr>
          <w:i/>
        </w:rPr>
        <w:t>Orario e luogo di ricevimento</w:t>
      </w:r>
    </w:p>
    <w:p w14:paraId="15BA8C21" w14:textId="77777777" w:rsidR="00A93F08" w:rsidRPr="006772D2" w:rsidRDefault="00A93F08" w:rsidP="00A93F08">
      <w:pPr>
        <w:pStyle w:val="Testo2"/>
      </w:pPr>
      <w:r w:rsidRPr="006772D2">
        <w:t>Il Prof. Andrea Boitani riceve gli studenti come da avviso affisso all’albo del Dipartimento di Economia e Finanza.</w:t>
      </w:r>
    </w:p>
    <w:p w14:paraId="309E8E81" w14:textId="77777777" w:rsidR="006F1772" w:rsidRPr="006772D2" w:rsidRDefault="00A93F08" w:rsidP="00A93F08">
      <w:pPr>
        <w:pStyle w:val="Testo2"/>
      </w:pPr>
      <w:r w:rsidRPr="006772D2">
        <w:t>Il Prof. Rony Hamaui riceve gli studenti come da avviso affisso all’albo del Dipartimento di Economia e Finanza.</w:t>
      </w:r>
    </w:p>
    <w:sectPr w:rsidR="006F1772" w:rsidRPr="006772D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5441" w14:textId="77777777" w:rsidR="00311D8C" w:rsidRDefault="00311D8C" w:rsidP="00311D8C">
      <w:pPr>
        <w:spacing w:line="240" w:lineRule="auto"/>
      </w:pPr>
      <w:r>
        <w:separator/>
      </w:r>
    </w:p>
  </w:endnote>
  <w:endnote w:type="continuationSeparator" w:id="0">
    <w:p w14:paraId="3C3C6E86" w14:textId="77777777" w:rsidR="00311D8C" w:rsidRDefault="00311D8C" w:rsidP="00311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20D8" w14:textId="77777777" w:rsidR="00311D8C" w:rsidRDefault="00311D8C" w:rsidP="00311D8C">
      <w:pPr>
        <w:spacing w:line="240" w:lineRule="auto"/>
      </w:pPr>
      <w:r>
        <w:separator/>
      </w:r>
    </w:p>
  </w:footnote>
  <w:footnote w:type="continuationSeparator" w:id="0">
    <w:p w14:paraId="39D172DC" w14:textId="77777777" w:rsidR="00311D8C" w:rsidRDefault="00311D8C" w:rsidP="00311D8C">
      <w:pPr>
        <w:spacing w:line="240" w:lineRule="auto"/>
      </w:pPr>
      <w:r>
        <w:continuationSeparator/>
      </w:r>
    </w:p>
  </w:footnote>
  <w:footnote w:id="1">
    <w:p w14:paraId="71FA2A57" w14:textId="29B58BE7" w:rsidR="00311D8C" w:rsidRDefault="00311D8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73D"/>
    <w:multiLevelType w:val="hybridMultilevel"/>
    <w:tmpl w:val="69E03A16"/>
    <w:lvl w:ilvl="0" w:tplc="4796B2BC">
      <w:start w:val="10"/>
      <w:numFmt w:val="bullet"/>
      <w:lvlText w:val="–"/>
      <w:lvlJc w:val="left"/>
      <w:pPr>
        <w:ind w:left="720" w:hanging="360"/>
      </w:pPr>
      <w:rPr>
        <w:rFonts w:ascii="Times New Roman" w:eastAsia="Calibr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5C6C91"/>
    <w:multiLevelType w:val="hybridMultilevel"/>
    <w:tmpl w:val="7E4C8F76"/>
    <w:lvl w:ilvl="0" w:tplc="CD224B68">
      <w:start w:val="10"/>
      <w:numFmt w:val="bullet"/>
      <w:lvlText w:val="–"/>
      <w:lvlJc w:val="left"/>
      <w:pPr>
        <w:ind w:left="720" w:hanging="360"/>
      </w:pPr>
      <w:rPr>
        <w:rFonts w:ascii="Times New Roman" w:eastAsia="Calibr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8A698B"/>
    <w:multiLevelType w:val="hybridMultilevel"/>
    <w:tmpl w:val="75EC8150"/>
    <w:lvl w:ilvl="0" w:tplc="4796B2BC">
      <w:start w:val="10"/>
      <w:numFmt w:val="bullet"/>
      <w:lvlText w:val="–"/>
      <w:lvlJc w:val="left"/>
      <w:pPr>
        <w:ind w:left="360" w:hanging="360"/>
      </w:pPr>
      <w:rPr>
        <w:rFonts w:ascii="Times New Roman" w:eastAsia="Calibri"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8B73290"/>
    <w:multiLevelType w:val="hybridMultilevel"/>
    <w:tmpl w:val="0D329772"/>
    <w:lvl w:ilvl="0" w:tplc="4796B2BC">
      <w:start w:val="10"/>
      <w:numFmt w:val="bullet"/>
      <w:lvlText w:val="–"/>
      <w:lvlJc w:val="left"/>
      <w:pPr>
        <w:ind w:left="1008" w:hanging="360"/>
      </w:pPr>
      <w:rPr>
        <w:rFonts w:ascii="Times New Roman" w:eastAsia="Calibri" w:hAnsi="Times New Roman" w:cs="Times New Roman" w:hint="default"/>
        <w:i/>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4" w15:restartNumberingAfterBreak="0">
    <w:nsid w:val="5CBA0573"/>
    <w:multiLevelType w:val="hybridMultilevel"/>
    <w:tmpl w:val="67A6CF80"/>
    <w:lvl w:ilvl="0" w:tplc="4796B2BC">
      <w:start w:val="10"/>
      <w:numFmt w:val="bullet"/>
      <w:lvlText w:val="–"/>
      <w:lvlJc w:val="left"/>
      <w:pPr>
        <w:ind w:left="720" w:hanging="360"/>
      </w:pPr>
      <w:rPr>
        <w:rFonts w:ascii="Times New Roman" w:eastAsia="Calibr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2074587">
    <w:abstractNumId w:val="2"/>
  </w:num>
  <w:num w:numId="2" w16cid:durableId="123814778">
    <w:abstractNumId w:val="3"/>
  </w:num>
  <w:num w:numId="3" w16cid:durableId="4022218">
    <w:abstractNumId w:val="4"/>
  </w:num>
  <w:num w:numId="4" w16cid:durableId="210775461">
    <w:abstractNumId w:val="0"/>
  </w:num>
  <w:num w:numId="5" w16cid:durableId="2039315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91F72"/>
    <w:rsid w:val="000E03C5"/>
    <w:rsid w:val="00145BB7"/>
    <w:rsid w:val="001868EA"/>
    <w:rsid w:val="00187B99"/>
    <w:rsid w:val="002000B9"/>
    <w:rsid w:val="002014DD"/>
    <w:rsid w:val="00311D8C"/>
    <w:rsid w:val="00396DFF"/>
    <w:rsid w:val="004D1217"/>
    <w:rsid w:val="004D6008"/>
    <w:rsid w:val="005027BA"/>
    <w:rsid w:val="00527D61"/>
    <w:rsid w:val="005733C9"/>
    <w:rsid w:val="00673BBE"/>
    <w:rsid w:val="006772D2"/>
    <w:rsid w:val="006F1772"/>
    <w:rsid w:val="00810E3E"/>
    <w:rsid w:val="00814F68"/>
    <w:rsid w:val="008A1204"/>
    <w:rsid w:val="00900CCA"/>
    <w:rsid w:val="00903C01"/>
    <w:rsid w:val="00924B77"/>
    <w:rsid w:val="00940DA2"/>
    <w:rsid w:val="009E055C"/>
    <w:rsid w:val="00A74F6F"/>
    <w:rsid w:val="00A93F08"/>
    <w:rsid w:val="00AD7557"/>
    <w:rsid w:val="00B51253"/>
    <w:rsid w:val="00B525CC"/>
    <w:rsid w:val="00BA0278"/>
    <w:rsid w:val="00C132A6"/>
    <w:rsid w:val="00C86FD0"/>
    <w:rsid w:val="00CB2C06"/>
    <w:rsid w:val="00D33446"/>
    <w:rsid w:val="00D404F2"/>
    <w:rsid w:val="00D47417"/>
    <w:rsid w:val="00D6503B"/>
    <w:rsid w:val="00E4028C"/>
    <w:rsid w:val="00E607E6"/>
    <w:rsid w:val="00F82642"/>
    <w:rsid w:val="00FD3110"/>
    <w:rsid w:val="00FD4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20748"/>
  <w15:docId w15:val="{8E10E70C-E9A0-44AA-B06A-46BA664A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6503B"/>
    <w:pPr>
      <w:tabs>
        <w:tab w:val="clear" w:pos="284"/>
      </w:tabs>
      <w:spacing w:line="240" w:lineRule="auto"/>
      <w:ind w:left="720"/>
      <w:contextualSpacing/>
      <w:jc w:val="left"/>
    </w:pPr>
    <w:rPr>
      <w:sz w:val="24"/>
    </w:rPr>
  </w:style>
  <w:style w:type="paragraph" w:styleId="Testonotaapidipagina">
    <w:name w:val="footnote text"/>
    <w:basedOn w:val="Normale"/>
    <w:link w:val="TestonotaapidipaginaCarattere"/>
    <w:semiHidden/>
    <w:unhideWhenUsed/>
    <w:rsid w:val="00311D8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11D8C"/>
  </w:style>
  <w:style w:type="character" w:styleId="Rimandonotaapidipagina">
    <w:name w:val="footnote reference"/>
    <w:basedOn w:val="Carpredefinitoparagrafo"/>
    <w:semiHidden/>
    <w:unhideWhenUsed/>
    <w:rsid w:val="00311D8C"/>
    <w:rPr>
      <w:vertAlign w:val="superscript"/>
    </w:rPr>
  </w:style>
  <w:style w:type="character" w:styleId="Collegamentoipertestuale">
    <w:name w:val="Hyperlink"/>
    <w:basedOn w:val="Carpredefinitoparagrafo"/>
    <w:unhideWhenUsed/>
    <w:rsid w:val="00311D8C"/>
    <w:rPr>
      <w:color w:val="0000FF" w:themeColor="hyperlink"/>
      <w:u w:val="single"/>
    </w:rPr>
  </w:style>
  <w:style w:type="character" w:styleId="Menzionenonrisolta">
    <w:name w:val="Unresolved Mention"/>
    <w:basedOn w:val="Carpredefinitoparagrafo"/>
    <w:uiPriority w:val="99"/>
    <w:semiHidden/>
    <w:unhideWhenUsed/>
    <w:rsid w:val="00311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gelo-baglioni/le-frontiere-della-politica-monetaria-dal-quantitative-easing-ai-tassi-negativi-9788820399825-701859.html" TargetMode="External"/><Relationship Id="rId13" Type="http://schemas.openxmlformats.org/officeDocument/2006/relationships/hyperlink" Target="https://librerie.unicatt.it/scheda-libro/francesco-giavazzi-alessia-amighini-olivier-blanchard/macroeconomia-una-prospettiva-europea-9788815287823-686502.html" TargetMode="External"/><Relationship Id="rId3" Type="http://schemas.openxmlformats.org/officeDocument/2006/relationships/settings" Target="settings.xml"/><Relationship Id="rId7" Type="http://schemas.openxmlformats.org/officeDocument/2006/relationships/hyperlink" Target="https://librerie.unicatt.it/scheda-libro/andrea-boitani/macroeconomia-9788815284792-676030.html" TargetMode="External"/><Relationship Id="rId12" Type="http://schemas.openxmlformats.org/officeDocument/2006/relationships/hyperlink" Target="https://librerie.unicatt.it/scheda-libro/andrea-boitani/macroeconomia-9788815284792-67603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peter-hammond-knut-sydsaeter-arne-strc3b8m/metodi-matematici-per-leconomia-ediz-mylab-9788891905529-69944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rerie.unicatt.it/scheda-libro/andrea-boitani-rony-hamaui/scusi-prof-cose-il-populismo-9788834335468-556696.html" TargetMode="External"/><Relationship Id="rId4" Type="http://schemas.openxmlformats.org/officeDocument/2006/relationships/webSettings" Target="webSettings.xml"/><Relationship Id="rId9" Type="http://schemas.openxmlformats.org/officeDocument/2006/relationships/hyperlink" Target="https://librerie.unicatt.it/scheda-libro/rony-hamaui-marco-mauri/economia-e-finanza-islamica-quando-i-mercati-incontrano-il-mondo-del-profeta-9788815130532-208586.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1212</Words>
  <Characters>8470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2023-05-15T06:36:00Z</dcterms:created>
  <dcterms:modified xsi:type="dcterms:W3CDTF">2023-06-23T12:40:00Z</dcterms:modified>
</cp:coreProperties>
</file>