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2DC1" w14:textId="530C3C55" w:rsidR="00ED74C4" w:rsidRPr="005729C2" w:rsidRDefault="00ED74C4" w:rsidP="00FA6167">
      <w:pPr>
        <w:pStyle w:val="Titolo1"/>
        <w:jc w:val="left"/>
      </w:pPr>
      <w:r w:rsidRPr="005729C2">
        <w:t>Corporate governance</w:t>
      </w:r>
    </w:p>
    <w:p w14:paraId="7C182A0A" w14:textId="0EB75E7F" w:rsidR="00ED74C4" w:rsidRPr="008841CC" w:rsidRDefault="00ED74C4" w:rsidP="00CD00F8">
      <w:pPr>
        <w:pStyle w:val="Titolo2"/>
        <w:jc w:val="left"/>
        <w:rPr>
          <w:szCs w:val="18"/>
        </w:rPr>
      </w:pPr>
      <w:r w:rsidRPr="008841CC">
        <w:rPr>
          <w:szCs w:val="18"/>
        </w:rPr>
        <w:t xml:space="preserve">Prof. </w:t>
      </w:r>
      <w:r w:rsidR="004B1240" w:rsidRPr="008841CC">
        <w:rPr>
          <w:szCs w:val="18"/>
        </w:rPr>
        <w:t xml:space="preserve">Carlo </w:t>
      </w:r>
      <w:r w:rsidRPr="008841CC">
        <w:rPr>
          <w:szCs w:val="18"/>
        </w:rPr>
        <w:t>Bellavite Pellegrini</w:t>
      </w:r>
    </w:p>
    <w:p w14:paraId="4611B52C" w14:textId="38EF9D2F" w:rsidR="002D5E17" w:rsidRDefault="00ED74C4" w:rsidP="00ED74C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FA6167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3060366C" w14:textId="77777777" w:rsidR="00ED74C4" w:rsidRPr="00834841" w:rsidRDefault="00ED74C4" w:rsidP="00ED74C4">
      <w:r w:rsidRPr="00834841">
        <w:t xml:space="preserve">Il corso si propone di fornire agli studenti una conoscenza di ampio respiro sui principali temi della </w:t>
      </w:r>
      <w:r w:rsidRPr="00834841">
        <w:rPr>
          <w:i/>
        </w:rPr>
        <w:t>corporate governance</w:t>
      </w:r>
      <w:r w:rsidRPr="00834841">
        <w:t xml:space="preserve">. Il corso intende prendere in esame in primo luogo le premesse teoriche ed empiriche della </w:t>
      </w:r>
      <w:r w:rsidRPr="00834841">
        <w:rPr>
          <w:i/>
        </w:rPr>
        <w:t>corporate governance</w:t>
      </w:r>
      <w:r w:rsidRPr="00834841">
        <w:t xml:space="preserve">, quali attese di </w:t>
      </w:r>
      <w:r w:rsidRPr="00834841">
        <w:rPr>
          <w:i/>
        </w:rPr>
        <w:t xml:space="preserve">shareholders </w:t>
      </w:r>
      <w:r w:rsidRPr="00834841">
        <w:t xml:space="preserve">e di </w:t>
      </w:r>
      <w:r w:rsidRPr="00834841">
        <w:rPr>
          <w:i/>
        </w:rPr>
        <w:t xml:space="preserve">stakeholders </w:t>
      </w:r>
      <w:r w:rsidRPr="00834841">
        <w:t xml:space="preserve">intende soddisfare e a quali problemi della vita aziendale e dei mercati sia in grado di porre rimedio. Inoltre, il corso intende dedicare particolare attenzione sia alla natura e alla tipologia dei diversi attori che concorrono a creare un sistema di </w:t>
      </w:r>
      <w:r w:rsidRPr="00834841">
        <w:rPr>
          <w:i/>
        </w:rPr>
        <w:t xml:space="preserve">corporate governance, </w:t>
      </w:r>
      <w:r w:rsidRPr="00834841">
        <w:t xml:space="preserve">sia a come questa si collochi all’interno del sistema economico e politico in cui le imprese operano, analizzando le connessioni esistenti fra </w:t>
      </w:r>
      <w:r w:rsidRPr="00834841">
        <w:rPr>
          <w:i/>
        </w:rPr>
        <w:t xml:space="preserve">corporate governance </w:t>
      </w:r>
      <w:r w:rsidRPr="00834841">
        <w:t xml:space="preserve">e </w:t>
      </w:r>
      <w:r w:rsidRPr="00834841">
        <w:rPr>
          <w:i/>
        </w:rPr>
        <w:t xml:space="preserve">governance </w:t>
      </w:r>
      <w:r w:rsidRPr="00834841">
        <w:t xml:space="preserve">di sistema. Dopo un primo inquadramento di tali principali elementi istituzionali, verranno inoltre approfonditi la composizione e il funzionamento del Consiglio di amministrazione, il ruolo dei </w:t>
      </w:r>
      <w:r w:rsidRPr="00834841">
        <w:rPr>
          <w:i/>
        </w:rPr>
        <w:t>manager</w:t>
      </w:r>
      <w:r w:rsidRPr="00834841">
        <w:t xml:space="preserve">, i modelli alternativi di </w:t>
      </w:r>
      <w:r w:rsidRPr="00834841">
        <w:rPr>
          <w:i/>
        </w:rPr>
        <w:t>corporate governance</w:t>
      </w:r>
      <w:r w:rsidRPr="00834841">
        <w:t xml:space="preserve">, l’attivismo degli investitori istituzionali e i meccanismi di funzionamento del sistema dei controlli. Infine, si intende proporre un focus sui più recenti e rilevanti temi in ambito di </w:t>
      </w:r>
      <w:r w:rsidRPr="00834841">
        <w:rPr>
          <w:i/>
        </w:rPr>
        <w:t>corporate governance</w:t>
      </w:r>
      <w:r w:rsidRPr="00834841">
        <w:t xml:space="preserve">: la </w:t>
      </w:r>
      <w:r w:rsidRPr="00834841">
        <w:rPr>
          <w:i/>
        </w:rPr>
        <w:t>corporate social responsability (CSR)</w:t>
      </w:r>
      <w:r w:rsidRPr="00834841">
        <w:t xml:space="preserve"> e gli investimenti socialmente responsabili (SRI), la </w:t>
      </w:r>
      <w:r w:rsidRPr="00834841">
        <w:rPr>
          <w:i/>
        </w:rPr>
        <w:t>gender equality</w:t>
      </w:r>
      <w:r w:rsidRPr="00834841">
        <w:t xml:space="preserve">, gli indicatori </w:t>
      </w:r>
      <w:r w:rsidRPr="00834841">
        <w:rPr>
          <w:i/>
        </w:rPr>
        <w:t>ESG (Environmental, Social and Governance indicators</w:t>
      </w:r>
      <w:r w:rsidRPr="00834841">
        <w:t>) e le performance aziendali. Ciascun blocco di argomenti sarà supportato da adeguate evidenze empiriche nel mondo.</w:t>
      </w:r>
    </w:p>
    <w:p w14:paraId="7614941D" w14:textId="77777777" w:rsidR="00ED74C4" w:rsidRPr="004B1240" w:rsidRDefault="004B1240" w:rsidP="001450B1">
      <w:pPr>
        <w:spacing w:before="120"/>
        <w:rPr>
          <w:i/>
        </w:rPr>
      </w:pPr>
      <w:r>
        <w:rPr>
          <w:i/>
        </w:rPr>
        <w:t>C</w:t>
      </w:r>
      <w:r w:rsidRPr="004B1240">
        <w:rPr>
          <w:i/>
        </w:rPr>
        <w:t>onoscenza e comp</w:t>
      </w:r>
      <w:r>
        <w:rPr>
          <w:i/>
        </w:rPr>
        <w:t>rensione</w:t>
      </w:r>
    </w:p>
    <w:p w14:paraId="0E83164C" w14:textId="77777777" w:rsidR="00ED74C4" w:rsidRPr="00834841" w:rsidRDefault="00ED74C4" w:rsidP="00ED74C4">
      <w:r w:rsidRPr="00834841">
        <w:t xml:space="preserve">Al termine dell’insegnamento lo studente sarà in grado di apprezzare la rilevanza dei principali temi della </w:t>
      </w:r>
      <w:r w:rsidRPr="00834841">
        <w:rPr>
          <w:i/>
        </w:rPr>
        <w:t>corporate governance</w:t>
      </w:r>
      <w:r w:rsidRPr="00834841">
        <w:t>, di conoscerne i lineamenti istituzionali nonché la composizione dei diversi organi societari, il corretto funzionamento dei diversi sistemi dei controlli e i modelli di governance societaria. In particolare, al termine dell’insegnamento lo studente sarà in grado di:</w:t>
      </w:r>
    </w:p>
    <w:p w14:paraId="55FB1B87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conoscere le diverse forme di soggetti giuridici che esercitano attività d’impresa e comprendere l’interazione tra decisioni di investimento e decisioni di finanziamento, in particolar modo nelle società di capitale;</w:t>
      </w:r>
    </w:p>
    <w:p w14:paraId="1D5BF38B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individuare e determinare quali sono i fattori che determinano la scelta della struttura finanziaria d’impresa;</w:t>
      </w:r>
    </w:p>
    <w:p w14:paraId="6B9AEBBE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 xml:space="preserve">conoscere e comprendere le dinamiche sottese alla definizione della struttura finanziaria d’impresa, sapendo valutare i costi connessi alle diverse fonti di finanziamento, con un breve cenno ai modelli di Modigliani Miller (1958; 1963) senza imposte e con imposte societarie e personali, nell’ottica dell’individuazione di una struttura finanziaria ottima; </w:t>
      </w:r>
    </w:p>
    <w:p w14:paraId="3152C678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lastRenderedPageBreak/>
        <w:t>approfondire il tema dei costi di agenzia del capitale proprio e del capitale di debito, anche analizzando la letteratura e i modelli teorici di riferimento e valutare i possibili rimedi a tali costi.</w:t>
      </w:r>
    </w:p>
    <w:p w14:paraId="4F94B98B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conoscere i soggetti economici e le istituzioni coinvolti nella corporate governance;</w:t>
      </w:r>
    </w:p>
    <w:p w14:paraId="179EDC12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individuare le diverse tipologie di strutture proprietarie e approfondire il legame tra governance e performance societaria;</w:t>
      </w:r>
    </w:p>
    <w:p w14:paraId="446D5875" w14:textId="793A2C43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 xml:space="preserve">conoscere i principali modelli di corporate governance </w:t>
      </w:r>
      <w:r w:rsidR="00462022">
        <w:t xml:space="preserve">e dei diversi organi </w:t>
      </w:r>
      <w:r w:rsidRPr="00834841">
        <w:t>anche a seguito della Riforma del Diritto Societario: il modello tradizionale e i modelli alternativi di governance.</w:t>
      </w:r>
    </w:p>
    <w:p w14:paraId="31E76A01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approfondire tematiche relative ai possibili legami tra costi del sistema dei controlli e performance d’impresa, anche analizzando la letteratura esistente.</w:t>
      </w:r>
    </w:p>
    <w:p w14:paraId="15DA789D" w14:textId="77777777" w:rsidR="00ED74C4" w:rsidRPr="00ED74C4" w:rsidRDefault="004B1240" w:rsidP="004B1240">
      <w:pPr>
        <w:ind w:left="284" w:hanging="284"/>
      </w:pPr>
      <w:r>
        <w:t>–</w:t>
      </w:r>
      <w:r>
        <w:tab/>
      </w:r>
      <w:r w:rsidR="00ED74C4" w:rsidRPr="00834841">
        <w:t xml:space="preserve">individuare e comprendere i temi più innovativi di governance d’impresa quali la </w:t>
      </w:r>
      <w:r w:rsidR="00ED74C4" w:rsidRPr="004B1240">
        <w:rPr>
          <w:i/>
        </w:rPr>
        <w:t>corporate social responsability (CSR)</w:t>
      </w:r>
      <w:r w:rsidR="00ED74C4" w:rsidRPr="00834841">
        <w:t xml:space="preserve">, gli investimenti socialmente responsabili (SRI), la </w:t>
      </w:r>
      <w:r w:rsidR="00ED74C4" w:rsidRPr="004B1240">
        <w:rPr>
          <w:i/>
        </w:rPr>
        <w:t>gender equality</w:t>
      </w:r>
      <w:r w:rsidR="00ED74C4" w:rsidRPr="00834841">
        <w:t xml:space="preserve">, gli indicatori </w:t>
      </w:r>
      <w:r w:rsidR="00ED74C4" w:rsidRPr="004B1240">
        <w:rPr>
          <w:i/>
        </w:rPr>
        <w:t>ESG (Environmental, Social and Governance indicators</w:t>
      </w:r>
      <w:r w:rsidR="00ED74C4" w:rsidRPr="00834841">
        <w:t xml:space="preserve">). </w:t>
      </w:r>
    </w:p>
    <w:p w14:paraId="7951E71D" w14:textId="77777777" w:rsidR="00ED74C4" w:rsidRPr="004B1240" w:rsidRDefault="004B1240" w:rsidP="001450B1">
      <w:pPr>
        <w:spacing w:before="120"/>
        <w:rPr>
          <w:i/>
        </w:rPr>
      </w:pPr>
      <w:r w:rsidRPr="004B1240">
        <w:rPr>
          <w:i/>
        </w:rPr>
        <w:t>Capacità di applicare conoscenza e comprensione</w:t>
      </w:r>
    </w:p>
    <w:p w14:paraId="561C39B2" w14:textId="77777777" w:rsidR="00ED74C4" w:rsidRPr="00834841" w:rsidRDefault="00ED74C4" w:rsidP="00ED74C4">
      <w:r w:rsidRPr="00834841">
        <w:t>Al termine dell’insegnamento lo studente sarà in grado di applicare le diverse conoscenze acquisite a casi teorici ed empirici legati a situazioni aziendali in ambito di governance. In particolare, lo studente sarà in grado di individuare i principali problemi di governance societaria e problemi di agency e identificare i più opportuni rimedi, valutare l’efficienza della governance all’interno di un’impresa.</w:t>
      </w:r>
    </w:p>
    <w:p w14:paraId="13DE4CBD" w14:textId="77777777" w:rsidR="00ED74C4" w:rsidRPr="00834841" w:rsidRDefault="00ED74C4" w:rsidP="004B1240">
      <w:r w:rsidRPr="00834841">
        <w:t>Tra le varie capacità, al termine dell’insegnamento lo studente sarà quindi in grado di:</w:t>
      </w:r>
    </w:p>
    <w:p w14:paraId="5232B7CA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definire e valutare differenti strutture finanziarie in casi pratici;</w:t>
      </w:r>
    </w:p>
    <w:p w14:paraId="7EC1A502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valutare il ruolo dell’informativa societaria alla luce della teoria dell’Agenzia;</w:t>
      </w:r>
    </w:p>
    <w:p w14:paraId="65E43BC1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valutare e comparare i diversi strumenti finanziari, anche in merito alla loro considerazione quali possibili strumenti di gestione dei diversi problemi di governance societaria;</w:t>
      </w:r>
    </w:p>
    <w:p w14:paraId="7FD54908" w14:textId="77777777" w:rsidR="00ED74C4" w:rsidRPr="004B1240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analizzare e comparare i vantaggi e le problematiche dei diversi sistemi di corporate governance;</w:t>
      </w:r>
    </w:p>
    <w:p w14:paraId="345FA3A7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analizzare in modo approfondito alcune principali evidenze empiriche di governance societaria, in un’ottica sia nazionale, sia internazionale, comparando costi e benefici delle diverse realtà e valutandone l’adeguatezza, anche contestualizzando tali evidenze alla luce della crisi finanziaria internazionale;</w:t>
      </w:r>
    </w:p>
    <w:p w14:paraId="54161F4C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conoscere e valutare i legami tra il tema della governance di sistema e della governance societaria.</w:t>
      </w:r>
    </w:p>
    <w:p w14:paraId="6FBB9A72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 xml:space="preserve">identificare e strutturare adeguate misure per una migliore governance d’impresa e implementare un corretto sistema dei controlli, anche in tema di </w:t>
      </w:r>
      <w:r w:rsidRPr="00834841">
        <w:rPr>
          <w:i/>
        </w:rPr>
        <w:t xml:space="preserve">corporate social responsability (CSR) ed applicando i più recenti </w:t>
      </w:r>
      <w:r w:rsidRPr="00834841">
        <w:t xml:space="preserve">indicatori </w:t>
      </w:r>
      <w:r w:rsidRPr="00834841">
        <w:rPr>
          <w:i/>
        </w:rPr>
        <w:t>ESG (Environmental, Social and Governance indicators</w:t>
      </w:r>
      <w:r w:rsidRPr="00834841">
        <w:t>).</w:t>
      </w:r>
    </w:p>
    <w:p w14:paraId="0B210094" w14:textId="77777777" w:rsidR="00ED74C4" w:rsidRDefault="00ED74C4" w:rsidP="00ED74C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0C1FD64E" w14:textId="77777777" w:rsidR="00ED74C4" w:rsidRPr="00834841" w:rsidRDefault="00ED74C4" w:rsidP="00ED74C4">
      <w:pPr>
        <w:tabs>
          <w:tab w:val="left" w:pos="284"/>
        </w:tabs>
        <w:spacing w:line="240" w:lineRule="exact"/>
        <w:rPr>
          <w:szCs w:val="24"/>
        </w:rPr>
      </w:pPr>
      <w:r w:rsidRPr="00834841">
        <w:rPr>
          <w:szCs w:val="24"/>
        </w:rPr>
        <w:t>Il corso si articola su diversi argomenti fra loro correlati in modo sequenziale. Ciascun blocco di argomenti è a sua volta organizzato in alcuni punti.</w:t>
      </w:r>
    </w:p>
    <w:p w14:paraId="3C6D2C14" w14:textId="77777777" w:rsidR="00ED74C4" w:rsidRPr="00834841" w:rsidRDefault="00ED74C4" w:rsidP="00ED74C4">
      <w:pPr>
        <w:tabs>
          <w:tab w:val="left" w:pos="284"/>
        </w:tabs>
        <w:spacing w:before="120" w:line="240" w:lineRule="exact"/>
        <w:ind w:left="284" w:hanging="284"/>
        <w:rPr>
          <w:szCs w:val="24"/>
        </w:rPr>
      </w:pPr>
      <w:r w:rsidRPr="00834841">
        <w:rPr>
          <w:szCs w:val="24"/>
        </w:rPr>
        <w:t>1.</w:t>
      </w:r>
      <w:r w:rsidRPr="00834841">
        <w:rPr>
          <w:szCs w:val="24"/>
        </w:rPr>
        <w:tab/>
        <w:t xml:space="preserve">L’impresa, la teoria neo-istituzionalista sull’impresa, il perimetro delle attività dell’impresa, le diverse forme istituzionali di soggetti giuridici che esercitano attività economica, la </w:t>
      </w:r>
      <w:r w:rsidRPr="00834841">
        <w:rPr>
          <w:i/>
          <w:szCs w:val="24"/>
        </w:rPr>
        <w:t xml:space="preserve">mission </w:t>
      </w:r>
      <w:r w:rsidRPr="00834841">
        <w:rPr>
          <w:szCs w:val="24"/>
        </w:rPr>
        <w:t xml:space="preserve">dell’impresa, con specifica attenzione alle società di capitale. Definizioni di </w:t>
      </w:r>
      <w:r w:rsidRPr="00834841">
        <w:rPr>
          <w:i/>
          <w:szCs w:val="24"/>
        </w:rPr>
        <w:t>corporate governance</w:t>
      </w:r>
      <w:r w:rsidRPr="00834841">
        <w:rPr>
          <w:szCs w:val="24"/>
        </w:rPr>
        <w:t xml:space="preserve">: linee evolutive e quadro normativo di riferimento. Creazione di valore e gestione del rischio aziendale: il legame fra i diversi strumenti finanziari e i diritti degli </w:t>
      </w:r>
      <w:r w:rsidRPr="00834841">
        <w:rPr>
          <w:i/>
          <w:szCs w:val="24"/>
        </w:rPr>
        <w:t xml:space="preserve">shareholders </w:t>
      </w:r>
      <w:r w:rsidRPr="00834841">
        <w:rPr>
          <w:szCs w:val="24"/>
        </w:rPr>
        <w:t xml:space="preserve">e degli </w:t>
      </w:r>
      <w:r w:rsidRPr="00834841">
        <w:rPr>
          <w:i/>
          <w:szCs w:val="24"/>
        </w:rPr>
        <w:t>stakeholders.</w:t>
      </w:r>
      <w:r w:rsidRPr="00834841">
        <w:rPr>
          <w:szCs w:val="24"/>
        </w:rPr>
        <w:t xml:space="preserve"> </w:t>
      </w:r>
    </w:p>
    <w:p w14:paraId="4340C884" w14:textId="77777777" w:rsidR="00ED74C4" w:rsidRPr="00834841" w:rsidRDefault="00ED74C4" w:rsidP="00ED74C4">
      <w:pPr>
        <w:tabs>
          <w:tab w:val="left" w:pos="284"/>
        </w:tabs>
        <w:spacing w:line="240" w:lineRule="exact"/>
        <w:ind w:left="284" w:hanging="284"/>
        <w:rPr>
          <w:szCs w:val="24"/>
        </w:rPr>
      </w:pPr>
      <w:r w:rsidRPr="00834841">
        <w:rPr>
          <w:szCs w:val="24"/>
        </w:rPr>
        <w:t>2.</w:t>
      </w:r>
      <w:r w:rsidRPr="00834841">
        <w:rPr>
          <w:szCs w:val="24"/>
        </w:rPr>
        <w:tab/>
      </w:r>
      <w:r w:rsidRPr="00834841">
        <w:rPr>
          <w:i/>
          <w:szCs w:val="24"/>
        </w:rPr>
        <w:t>Agency theory</w:t>
      </w:r>
      <w:r w:rsidRPr="00834841">
        <w:rPr>
          <w:szCs w:val="24"/>
        </w:rPr>
        <w:t>, struttura proprietaria e struttura finanziaria delle imprese: la letteratura sui principali costi di agenzia del capitale proprio e del capitale di debito, i rimedi proposti a tali costi di agenzia.</w:t>
      </w:r>
    </w:p>
    <w:p w14:paraId="27595436" w14:textId="77777777" w:rsidR="00ED74C4" w:rsidRPr="00834841" w:rsidRDefault="00ED74C4" w:rsidP="00ED74C4">
      <w:pPr>
        <w:tabs>
          <w:tab w:val="left" w:pos="284"/>
        </w:tabs>
        <w:spacing w:line="240" w:lineRule="exact"/>
        <w:ind w:left="284" w:hanging="284"/>
        <w:rPr>
          <w:szCs w:val="24"/>
        </w:rPr>
      </w:pPr>
      <w:r w:rsidRPr="00834841">
        <w:rPr>
          <w:szCs w:val="24"/>
        </w:rPr>
        <w:t>3.</w:t>
      </w:r>
      <w:r w:rsidRPr="00834841">
        <w:rPr>
          <w:szCs w:val="24"/>
        </w:rPr>
        <w:tab/>
        <w:t>Evidenze empiriche in tema di strutture proprietarie: le diverse tipologie di strumenti finanziari, le tipologie di azionisti, investitori industriali e finanziari, gli investitori istituzionali.</w:t>
      </w:r>
    </w:p>
    <w:p w14:paraId="29005072" w14:textId="77777777" w:rsidR="00ED74C4" w:rsidRPr="00834841" w:rsidRDefault="00ED74C4" w:rsidP="00ED74C4">
      <w:pPr>
        <w:tabs>
          <w:tab w:val="left" w:pos="284"/>
        </w:tabs>
        <w:spacing w:line="240" w:lineRule="exact"/>
        <w:ind w:left="284" w:hanging="284"/>
        <w:rPr>
          <w:szCs w:val="24"/>
        </w:rPr>
      </w:pPr>
      <w:r w:rsidRPr="00834841">
        <w:rPr>
          <w:szCs w:val="24"/>
        </w:rPr>
        <w:t>4.</w:t>
      </w:r>
      <w:r w:rsidRPr="00834841">
        <w:rPr>
          <w:szCs w:val="24"/>
        </w:rPr>
        <w:tab/>
        <w:t xml:space="preserve">Struttura e composizione del Consiglio di amministrazione: composizione e funzionamento del </w:t>
      </w:r>
      <w:r w:rsidRPr="00834841">
        <w:rPr>
          <w:i/>
          <w:szCs w:val="24"/>
        </w:rPr>
        <w:t>board.</w:t>
      </w:r>
      <w:r w:rsidRPr="00834841">
        <w:rPr>
          <w:szCs w:val="24"/>
        </w:rPr>
        <w:t xml:space="preserve"> Gli organi interni e il funzionamento dei comitati, i requisiti di indipendenza. I manager e il tema delle remunerazioni manageriali. Evidenze empiriche sul funzionamento del Consiglio di amministrazione. La </w:t>
      </w:r>
      <w:r w:rsidRPr="00834841">
        <w:rPr>
          <w:i/>
          <w:szCs w:val="24"/>
        </w:rPr>
        <w:t>gender equality.</w:t>
      </w:r>
    </w:p>
    <w:p w14:paraId="0C1ADB11" w14:textId="77777777" w:rsidR="00ED74C4" w:rsidRPr="00834841" w:rsidRDefault="00ED74C4" w:rsidP="00ED74C4">
      <w:pPr>
        <w:tabs>
          <w:tab w:val="left" w:pos="284"/>
        </w:tabs>
        <w:spacing w:line="240" w:lineRule="exact"/>
        <w:ind w:left="284" w:hanging="284"/>
        <w:rPr>
          <w:szCs w:val="24"/>
        </w:rPr>
      </w:pPr>
      <w:r w:rsidRPr="00834841">
        <w:rPr>
          <w:szCs w:val="24"/>
        </w:rPr>
        <w:t>5.</w:t>
      </w:r>
      <w:r w:rsidRPr="00834841">
        <w:rPr>
          <w:szCs w:val="24"/>
        </w:rPr>
        <w:tab/>
        <w:t xml:space="preserve">I modelli alternativi di </w:t>
      </w:r>
      <w:r w:rsidRPr="00834841">
        <w:rPr>
          <w:i/>
          <w:szCs w:val="24"/>
        </w:rPr>
        <w:t>corporate governance</w:t>
      </w:r>
      <w:r w:rsidRPr="00834841">
        <w:rPr>
          <w:szCs w:val="24"/>
        </w:rPr>
        <w:t>: il modello monistico e il modello dualistico. Lineamenti teorici ed evidenze empiriche.</w:t>
      </w:r>
    </w:p>
    <w:p w14:paraId="7D52D0BF" w14:textId="77777777" w:rsidR="00ED74C4" w:rsidRPr="00834841" w:rsidRDefault="00ED74C4" w:rsidP="00ED74C4">
      <w:pPr>
        <w:tabs>
          <w:tab w:val="left" w:pos="284"/>
        </w:tabs>
        <w:spacing w:line="240" w:lineRule="exact"/>
        <w:ind w:left="284" w:hanging="284"/>
        <w:rPr>
          <w:szCs w:val="24"/>
        </w:rPr>
      </w:pPr>
      <w:r w:rsidRPr="00834841">
        <w:rPr>
          <w:szCs w:val="24"/>
        </w:rPr>
        <w:t>6.</w:t>
      </w:r>
      <w:r w:rsidRPr="00834841">
        <w:rPr>
          <w:szCs w:val="24"/>
        </w:rPr>
        <w:tab/>
        <w:t>L’attivismo degli investitori istituzionali nelle loro diverse forme.</w:t>
      </w:r>
    </w:p>
    <w:p w14:paraId="6D1F2AB7" w14:textId="77777777" w:rsidR="00ED74C4" w:rsidRPr="00834841" w:rsidRDefault="00ED74C4" w:rsidP="00ED74C4">
      <w:pPr>
        <w:tabs>
          <w:tab w:val="left" w:pos="284"/>
        </w:tabs>
        <w:spacing w:line="240" w:lineRule="exact"/>
        <w:ind w:left="284" w:hanging="284"/>
        <w:rPr>
          <w:szCs w:val="24"/>
        </w:rPr>
      </w:pPr>
      <w:r w:rsidRPr="00834841">
        <w:rPr>
          <w:szCs w:val="24"/>
        </w:rPr>
        <w:t>7.</w:t>
      </w:r>
      <w:r w:rsidRPr="00834841">
        <w:rPr>
          <w:szCs w:val="24"/>
        </w:rPr>
        <w:tab/>
        <w:t>Il sistema dei controlli e la gestione di rischi aziendali: meccanismi di funzionamento e principali evidenze empiriche.</w:t>
      </w:r>
    </w:p>
    <w:p w14:paraId="5FB6AE15" w14:textId="77777777" w:rsidR="00ED74C4" w:rsidRPr="00834841" w:rsidRDefault="00ED74C4" w:rsidP="00ED74C4">
      <w:pPr>
        <w:tabs>
          <w:tab w:val="left" w:pos="284"/>
        </w:tabs>
        <w:spacing w:line="240" w:lineRule="exact"/>
        <w:ind w:left="284" w:hanging="284"/>
        <w:rPr>
          <w:szCs w:val="24"/>
        </w:rPr>
      </w:pPr>
      <w:r w:rsidRPr="00834841">
        <w:rPr>
          <w:szCs w:val="24"/>
        </w:rPr>
        <w:t>8.</w:t>
      </w:r>
      <w:r w:rsidRPr="00834841">
        <w:rPr>
          <w:szCs w:val="24"/>
        </w:rPr>
        <w:tab/>
        <w:t xml:space="preserve">Il mercato per il controllo, strutture proprietarie e </w:t>
      </w:r>
      <w:r w:rsidRPr="00834841">
        <w:rPr>
          <w:i/>
          <w:szCs w:val="24"/>
        </w:rPr>
        <w:t>governance</w:t>
      </w:r>
      <w:r w:rsidRPr="00834841">
        <w:rPr>
          <w:szCs w:val="24"/>
        </w:rPr>
        <w:t xml:space="preserve"> nel mondo: il sistema orientato ai mercati, il sistema orientato alle relazioni. Principali evidenze empiriche.</w:t>
      </w:r>
    </w:p>
    <w:p w14:paraId="7E41425A" w14:textId="77777777" w:rsidR="00ED74C4" w:rsidRPr="00834841" w:rsidRDefault="00ED74C4" w:rsidP="00ED74C4">
      <w:pPr>
        <w:tabs>
          <w:tab w:val="left" w:pos="284"/>
        </w:tabs>
        <w:spacing w:line="240" w:lineRule="exact"/>
        <w:ind w:left="284" w:hanging="284"/>
        <w:rPr>
          <w:szCs w:val="24"/>
        </w:rPr>
      </w:pPr>
      <w:r w:rsidRPr="00834841">
        <w:rPr>
          <w:szCs w:val="24"/>
        </w:rPr>
        <w:t>9.</w:t>
      </w:r>
      <w:r w:rsidRPr="00834841">
        <w:rPr>
          <w:szCs w:val="24"/>
        </w:rPr>
        <w:tab/>
      </w:r>
      <w:r w:rsidRPr="00834841">
        <w:rPr>
          <w:i/>
          <w:szCs w:val="24"/>
        </w:rPr>
        <w:t>New issues</w:t>
      </w:r>
      <w:r w:rsidRPr="00834841">
        <w:rPr>
          <w:szCs w:val="24"/>
        </w:rPr>
        <w:t xml:space="preserve"> on Corporate Governance: CSR e SRI, indicatori ESG e performance aziendali.</w:t>
      </w:r>
    </w:p>
    <w:p w14:paraId="289B7806" w14:textId="3ECA8C46" w:rsidR="00ED74C4" w:rsidRPr="004B1240" w:rsidRDefault="00ED74C4" w:rsidP="004B124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9156A">
        <w:rPr>
          <w:rStyle w:val="Rimandonotaapidipagina"/>
          <w:b/>
          <w:i/>
          <w:sz w:val="18"/>
        </w:rPr>
        <w:footnoteReference w:id="1"/>
      </w:r>
    </w:p>
    <w:p w14:paraId="6F58456F" w14:textId="77777777" w:rsidR="00ED74C4" w:rsidRPr="001450B1" w:rsidRDefault="00ED74C4" w:rsidP="001450B1">
      <w:pPr>
        <w:pStyle w:val="Testo1"/>
      </w:pPr>
      <w:r w:rsidRPr="001450B1">
        <w:t>Raccolta di letture (disponibili nel sito Blackboard del corso).</w:t>
      </w:r>
    </w:p>
    <w:p w14:paraId="286CA990" w14:textId="77777777" w:rsidR="00ED74C4" w:rsidRPr="001450B1" w:rsidRDefault="00ED74C4" w:rsidP="001450B1">
      <w:pPr>
        <w:pStyle w:val="Testo1"/>
      </w:pPr>
      <w:r w:rsidRPr="001450B1">
        <w:t>Materiale integrativo (diapositive, dati, slides, e altri riferimenti bibliografici) sarà messo a disposizione degli studenti nel sito Blackboard del corso, con cadenza settimanale.</w:t>
      </w:r>
    </w:p>
    <w:p w14:paraId="6BB1C510" w14:textId="09D17DA8" w:rsidR="00ED74C4" w:rsidRPr="001450B1" w:rsidRDefault="00ED74C4" w:rsidP="001450B1">
      <w:pPr>
        <w:pStyle w:val="Testo1"/>
      </w:pPr>
      <w:r w:rsidRPr="001450B1">
        <w:lastRenderedPageBreak/>
        <w:t>Testi adottati</w:t>
      </w:r>
    </w:p>
    <w:p w14:paraId="7EBA5E32" w14:textId="65745C4E" w:rsidR="00ED74C4" w:rsidRPr="001450B1" w:rsidRDefault="00ED74C4" w:rsidP="001450B1">
      <w:pPr>
        <w:pStyle w:val="Testo1"/>
        <w:spacing w:before="0" w:line="240" w:lineRule="atLeast"/>
        <w:rPr>
          <w:spacing w:val="-5"/>
        </w:rPr>
      </w:pPr>
      <w:r w:rsidRPr="001450B1">
        <w:rPr>
          <w:smallCaps/>
          <w:spacing w:val="-5"/>
          <w:sz w:val="16"/>
        </w:rPr>
        <w:t>P. Singer-C.A. Sirianni,</w:t>
      </w:r>
      <w:r w:rsidRPr="001450B1">
        <w:rPr>
          <w:i/>
          <w:spacing w:val="-5"/>
        </w:rPr>
        <w:t xml:space="preserve"> La corporate governance. elementi di teoria e profili operativi,</w:t>
      </w:r>
      <w:r w:rsidRPr="001450B1">
        <w:rPr>
          <w:spacing w:val="-5"/>
        </w:rPr>
        <w:t xml:space="preserve"> Giappichelli, 2015.</w:t>
      </w:r>
      <w:r w:rsidR="00A9156A">
        <w:rPr>
          <w:spacing w:val="-5"/>
        </w:rPr>
        <w:t xml:space="preserve"> </w:t>
      </w:r>
      <w:hyperlink r:id="rId8" w:history="1">
        <w:r w:rsidR="00A9156A" w:rsidRPr="00A9156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F1451D8" w14:textId="697C1608" w:rsidR="00ED74C4" w:rsidRPr="001450B1" w:rsidRDefault="00ED74C4" w:rsidP="001450B1">
      <w:pPr>
        <w:pStyle w:val="Testo1"/>
        <w:spacing w:before="0" w:line="240" w:lineRule="atLeast"/>
        <w:rPr>
          <w:spacing w:val="-5"/>
          <w:lang w:val="en-US"/>
        </w:rPr>
      </w:pPr>
      <w:r w:rsidRPr="001450B1">
        <w:rPr>
          <w:smallCaps/>
          <w:spacing w:val="-5"/>
          <w:sz w:val="16"/>
          <w:lang w:val="en-US"/>
        </w:rPr>
        <w:t>R. Monks-N. Minow,</w:t>
      </w:r>
      <w:r w:rsidRPr="001450B1">
        <w:rPr>
          <w:i/>
          <w:spacing w:val="-5"/>
          <w:lang w:val="en-US"/>
        </w:rPr>
        <w:t xml:space="preserve"> Corporate Governance,</w:t>
      </w:r>
      <w:r w:rsidRPr="001450B1">
        <w:rPr>
          <w:spacing w:val="-5"/>
          <w:lang w:val="en-US"/>
        </w:rPr>
        <w:t xml:space="preserve"> John Wiley and Sons, 5th edition, 2011.</w:t>
      </w:r>
      <w:r w:rsidR="00A9156A">
        <w:rPr>
          <w:spacing w:val="-5"/>
          <w:lang w:val="en-US"/>
        </w:rPr>
        <w:t xml:space="preserve"> </w:t>
      </w:r>
      <w:hyperlink r:id="rId9" w:history="1">
        <w:r w:rsidR="00A9156A" w:rsidRPr="00A9156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88E5761" w14:textId="6039F158" w:rsidR="00341006" w:rsidRPr="00341006" w:rsidRDefault="00341006" w:rsidP="00341006">
      <w:pPr>
        <w:pStyle w:val="Titolo1"/>
        <w:spacing w:before="0"/>
        <w:rPr>
          <w:b w:val="0"/>
          <w:smallCaps/>
          <w:spacing w:val="-5"/>
          <w:sz w:val="16"/>
        </w:rPr>
      </w:pPr>
      <w:r w:rsidRPr="00341006">
        <w:rPr>
          <w:b w:val="0"/>
          <w:smallCaps/>
          <w:spacing w:val="-5"/>
          <w:sz w:val="16"/>
        </w:rPr>
        <w:t xml:space="preserve">F. Chiappetta </w:t>
      </w:r>
      <w:r>
        <w:rPr>
          <w:b w:val="0"/>
          <w:i/>
          <w:spacing w:val="-5"/>
          <w:sz w:val="18"/>
          <w:lang w:val="en-US"/>
        </w:rPr>
        <w:t>D</w:t>
      </w:r>
      <w:r w:rsidRPr="00341006">
        <w:rPr>
          <w:b w:val="0"/>
          <w:i/>
          <w:spacing w:val="-5"/>
          <w:sz w:val="18"/>
          <w:lang w:val="en-US"/>
        </w:rPr>
        <w:t xml:space="preserve">iritto del </w:t>
      </w:r>
      <w:r>
        <w:rPr>
          <w:b w:val="0"/>
          <w:i/>
          <w:spacing w:val="-5"/>
          <w:sz w:val="18"/>
          <w:lang w:val="en-US"/>
        </w:rPr>
        <w:t>G</w:t>
      </w:r>
      <w:r w:rsidRPr="00341006">
        <w:rPr>
          <w:b w:val="0"/>
          <w:i/>
          <w:spacing w:val="-5"/>
          <w:sz w:val="18"/>
          <w:lang w:val="en-US"/>
        </w:rPr>
        <w:t xml:space="preserve">overno </w:t>
      </w:r>
      <w:r>
        <w:rPr>
          <w:b w:val="0"/>
          <w:i/>
          <w:spacing w:val="-5"/>
          <w:sz w:val="18"/>
          <w:lang w:val="en-US"/>
        </w:rPr>
        <w:t>S</w:t>
      </w:r>
      <w:r w:rsidRPr="00341006">
        <w:rPr>
          <w:b w:val="0"/>
          <w:i/>
          <w:spacing w:val="-5"/>
          <w:sz w:val="18"/>
          <w:lang w:val="en-US"/>
        </w:rPr>
        <w:t xml:space="preserve">ocietario. </w:t>
      </w:r>
      <w:r>
        <w:rPr>
          <w:b w:val="0"/>
          <w:i/>
          <w:spacing w:val="-5"/>
          <w:sz w:val="18"/>
          <w:lang w:val="en-US"/>
        </w:rPr>
        <w:t>La</w:t>
      </w:r>
      <w:r w:rsidRPr="00341006">
        <w:rPr>
          <w:b w:val="0"/>
          <w:i/>
          <w:spacing w:val="-5"/>
          <w:sz w:val="18"/>
          <w:lang w:val="en-US"/>
        </w:rPr>
        <w:t xml:space="preserve"> </w:t>
      </w:r>
      <w:r>
        <w:rPr>
          <w:b w:val="0"/>
          <w:i/>
          <w:spacing w:val="-5"/>
          <w:sz w:val="18"/>
          <w:lang w:val="en-US"/>
        </w:rPr>
        <w:t>C</w:t>
      </w:r>
      <w:r w:rsidRPr="00341006">
        <w:rPr>
          <w:b w:val="0"/>
          <w:i/>
          <w:spacing w:val="-5"/>
          <w:sz w:val="18"/>
          <w:lang w:val="en-US"/>
        </w:rPr>
        <w:t xml:space="preserve">orporate </w:t>
      </w:r>
      <w:r>
        <w:rPr>
          <w:b w:val="0"/>
          <w:i/>
          <w:spacing w:val="-5"/>
          <w:sz w:val="18"/>
          <w:lang w:val="en-US"/>
        </w:rPr>
        <w:t>G</w:t>
      </w:r>
      <w:r w:rsidRPr="00341006">
        <w:rPr>
          <w:b w:val="0"/>
          <w:i/>
          <w:spacing w:val="-5"/>
          <w:sz w:val="18"/>
          <w:lang w:val="en-US"/>
        </w:rPr>
        <w:t xml:space="preserve">overnance delle </w:t>
      </w:r>
      <w:r>
        <w:rPr>
          <w:b w:val="0"/>
          <w:i/>
          <w:spacing w:val="-5"/>
          <w:sz w:val="18"/>
          <w:lang w:val="en-US"/>
        </w:rPr>
        <w:t>S</w:t>
      </w:r>
      <w:r w:rsidRPr="00341006">
        <w:rPr>
          <w:b w:val="0"/>
          <w:i/>
          <w:spacing w:val="-5"/>
          <w:sz w:val="18"/>
          <w:lang w:val="en-US"/>
        </w:rPr>
        <w:t xml:space="preserve">ocietà </w:t>
      </w:r>
      <w:r>
        <w:rPr>
          <w:b w:val="0"/>
          <w:i/>
          <w:spacing w:val="-5"/>
          <w:sz w:val="18"/>
          <w:lang w:val="en-US"/>
        </w:rPr>
        <w:t>Q</w:t>
      </w:r>
      <w:r w:rsidRPr="00341006">
        <w:rPr>
          <w:b w:val="0"/>
          <w:i/>
          <w:spacing w:val="-5"/>
          <w:sz w:val="18"/>
          <w:lang w:val="en-US"/>
        </w:rPr>
        <w:t>uotate,</w:t>
      </w:r>
      <w:r w:rsidRPr="00341006">
        <w:rPr>
          <w:b w:val="0"/>
          <w:smallCaps/>
          <w:spacing w:val="-5"/>
          <w:sz w:val="16"/>
        </w:rPr>
        <w:t xml:space="preserve"> CEDAM 2020</w:t>
      </w:r>
      <w:r w:rsidR="00261A91">
        <w:rPr>
          <w:b w:val="0"/>
          <w:smallCaps/>
          <w:spacing w:val="-5"/>
          <w:sz w:val="16"/>
        </w:rPr>
        <w:t>.</w:t>
      </w:r>
      <w:r w:rsidR="00A9156A">
        <w:rPr>
          <w:b w:val="0"/>
          <w:smallCaps/>
          <w:spacing w:val="-5"/>
          <w:sz w:val="16"/>
        </w:rPr>
        <w:t xml:space="preserve"> </w:t>
      </w:r>
      <w:hyperlink r:id="rId10" w:history="1">
        <w:r w:rsidR="00A9156A" w:rsidRPr="00A9156A">
          <w:rPr>
            <w:rStyle w:val="Collegamentoipertestuale"/>
            <w:rFonts w:ascii="Times New Roman" w:hAnsi="Times New Roman"/>
            <w:b w:val="0"/>
            <w:bCs/>
            <w:i/>
            <w:sz w:val="18"/>
            <w:szCs w:val="18"/>
          </w:rPr>
          <w:t>Acquista da VP</w:t>
        </w:r>
      </w:hyperlink>
    </w:p>
    <w:p w14:paraId="131633E8" w14:textId="53F27CBB" w:rsidR="007A15A2" w:rsidRDefault="00ED74C4" w:rsidP="0056463D">
      <w:pPr>
        <w:pStyle w:val="Testo1"/>
        <w:ind w:left="0" w:firstLine="0"/>
        <w:rPr>
          <w:smallCaps/>
          <w:spacing w:val="-5"/>
          <w:sz w:val="16"/>
        </w:rPr>
      </w:pPr>
      <w:r w:rsidRPr="00834841">
        <w:t>Testi consigliati</w:t>
      </w:r>
      <w:bookmarkStart w:id="0" w:name="_Hlk59546033"/>
    </w:p>
    <w:p w14:paraId="19A6DCCB" w14:textId="18A7ED6C" w:rsidR="007A15A2" w:rsidRPr="00101837" w:rsidRDefault="007A15A2" w:rsidP="002B4B5E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7A15A2">
        <w:rPr>
          <w:smallCaps/>
          <w:spacing w:val="-5"/>
          <w:sz w:val="16"/>
        </w:rPr>
        <w:t xml:space="preserve"> </w:t>
      </w:r>
      <w:r w:rsidRPr="00101837">
        <w:rPr>
          <w:smallCaps/>
          <w:spacing w:val="-5"/>
          <w:sz w:val="16"/>
        </w:rPr>
        <w:t xml:space="preserve">C. Bellavite Pellegrini , L. Pellegrini, M. Catizone </w:t>
      </w:r>
      <w:bookmarkEnd w:id="0"/>
      <w:r w:rsidRPr="00101837">
        <w:rPr>
          <w:smallCaps/>
          <w:spacing w:val="-5"/>
          <w:sz w:val="16"/>
        </w:rPr>
        <w:t xml:space="preserve"> C</w:t>
      </w:r>
      <w:r w:rsidRPr="00101837">
        <w:rPr>
          <w:i/>
          <w:spacing w:val="-5"/>
        </w:rPr>
        <w:t>limate Change Adaptation, Governance and New Issues of Value. Measuring the impact of ESG scores on CoE and Firm Performance,</w:t>
      </w:r>
      <w:r w:rsidRPr="00101837">
        <w:rPr>
          <w:smallCaps/>
          <w:spacing w:val="-5"/>
          <w:sz w:val="16"/>
        </w:rPr>
        <w:t xml:space="preserve"> Palgrave Mac Millan, 2022</w:t>
      </w:r>
      <w:r w:rsidR="0056463D">
        <w:rPr>
          <w:smallCaps/>
          <w:spacing w:val="-5"/>
          <w:sz w:val="16"/>
        </w:rPr>
        <w:t>.</w:t>
      </w:r>
    </w:p>
    <w:p w14:paraId="39AC0869" w14:textId="77777777" w:rsidR="0056463D" w:rsidRPr="00CF5347" w:rsidRDefault="0056463D" w:rsidP="0056463D">
      <w:pPr>
        <w:pStyle w:val="Testo1"/>
        <w:spacing w:before="0" w:line="240" w:lineRule="atLeast"/>
        <w:rPr>
          <w:smallCaps/>
          <w:spacing w:val="-5"/>
          <w:sz w:val="16"/>
          <w:lang w:val="en-US"/>
        </w:rPr>
      </w:pPr>
      <w:r w:rsidRPr="00CF5347">
        <w:rPr>
          <w:smallCaps/>
          <w:spacing w:val="-5"/>
          <w:sz w:val="16"/>
        </w:rPr>
        <w:t xml:space="preserve">C. Bellavite Pellegrini, R. Caruso </w:t>
      </w:r>
      <w:r w:rsidRPr="00CF5347">
        <w:rPr>
          <w:i/>
          <w:spacing w:val="-5"/>
        </w:rPr>
        <w:t>Società Benefit: Profili giuridici ed economico-aziendali,</w:t>
      </w:r>
      <w:r w:rsidRPr="00CF5347">
        <w:rPr>
          <w:smallCaps/>
          <w:spacing w:val="-5"/>
          <w:sz w:val="16"/>
        </w:rPr>
        <w:t xml:space="preserve"> Egea, Milano, Italia pp.240.  </w:t>
      </w:r>
      <w:r w:rsidRPr="00CF5347">
        <w:rPr>
          <w:smallCaps/>
          <w:spacing w:val="-5"/>
          <w:sz w:val="16"/>
          <w:lang w:val="en-US"/>
        </w:rPr>
        <w:t>2023.</w:t>
      </w:r>
    </w:p>
    <w:p w14:paraId="412689BE" w14:textId="53E455AA" w:rsidR="002B4B5E" w:rsidRPr="002B4B5E" w:rsidRDefault="002B4B5E" w:rsidP="002B4B5E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101837">
        <w:rPr>
          <w:smallCaps/>
          <w:spacing w:val="-5"/>
          <w:sz w:val="16"/>
        </w:rPr>
        <w:t xml:space="preserve">C. Bellavite Pellegrini, M. Dallocchio, E. Parazzini </w:t>
      </w:r>
      <w:r w:rsidRPr="00101837">
        <w:rPr>
          <w:i/>
          <w:spacing w:val="-5"/>
        </w:rPr>
        <w:t>Valutazione d’azienda nel mondo esg</w:t>
      </w:r>
      <w:r w:rsidRPr="00101837">
        <w:rPr>
          <w:smallCaps/>
          <w:spacing w:val="-5"/>
          <w:sz w:val="16"/>
        </w:rPr>
        <w:t>, Egea,</w:t>
      </w:r>
      <w:r w:rsidRPr="002B4B5E">
        <w:rPr>
          <w:smallCaps/>
          <w:spacing w:val="-5"/>
          <w:sz w:val="16"/>
        </w:rPr>
        <w:t xml:space="preserve"> Milano, pp. 135, 2020.</w:t>
      </w:r>
    </w:p>
    <w:p w14:paraId="6BEBB4A7" w14:textId="1F7AFA93" w:rsidR="002B4B5E" w:rsidRPr="005729C2" w:rsidRDefault="002B4B5E" w:rsidP="002B4B5E">
      <w:pPr>
        <w:pStyle w:val="Testo1"/>
        <w:spacing w:before="0" w:line="240" w:lineRule="atLeast"/>
        <w:rPr>
          <w:smallCaps/>
          <w:spacing w:val="-5"/>
          <w:sz w:val="16"/>
          <w:lang w:val="en-US"/>
        </w:rPr>
      </w:pPr>
      <w:r w:rsidRPr="005729C2">
        <w:rPr>
          <w:smallCaps/>
          <w:spacing w:val="-5"/>
          <w:sz w:val="16"/>
          <w:lang w:val="en-US"/>
        </w:rPr>
        <w:t xml:space="preserve">C. Mayer, Prosperity: </w:t>
      </w:r>
      <w:r w:rsidRPr="005729C2">
        <w:rPr>
          <w:i/>
          <w:spacing w:val="-5"/>
          <w:lang w:val="en-US"/>
        </w:rPr>
        <w:t>Better Business Makes the Greater Good  –</w:t>
      </w:r>
      <w:r w:rsidRPr="005729C2">
        <w:rPr>
          <w:smallCaps/>
          <w:spacing w:val="-5"/>
          <w:sz w:val="16"/>
          <w:lang w:val="en-US"/>
        </w:rPr>
        <w:t xml:space="preserve"> OUP Oxford (8 novembre 2018), pp 288, 2018</w:t>
      </w:r>
      <w:r w:rsidR="00B02672" w:rsidRPr="005729C2">
        <w:rPr>
          <w:smallCaps/>
          <w:spacing w:val="-5"/>
          <w:sz w:val="16"/>
          <w:lang w:val="en-US"/>
        </w:rPr>
        <w:t>.</w:t>
      </w:r>
    </w:p>
    <w:p w14:paraId="5A11B15B" w14:textId="3177B8E4" w:rsidR="00ED74C4" w:rsidRPr="002B4B5E" w:rsidRDefault="00ED74C4" w:rsidP="001450B1">
      <w:pPr>
        <w:pStyle w:val="Testo1"/>
        <w:spacing w:before="0" w:line="240" w:lineRule="atLeast"/>
        <w:rPr>
          <w:spacing w:val="-5"/>
        </w:rPr>
      </w:pPr>
      <w:r w:rsidRPr="002B4B5E">
        <w:rPr>
          <w:smallCaps/>
          <w:spacing w:val="-5"/>
          <w:sz w:val="16"/>
        </w:rPr>
        <w:t>C. Bellavite Pellegrini,</w:t>
      </w:r>
      <w:r w:rsidRPr="002B4B5E">
        <w:rPr>
          <w:i/>
          <w:spacing w:val="-5"/>
        </w:rPr>
        <w:t xml:space="preserve"> Pirelli. innovazione e passione. 1872-2015,</w:t>
      </w:r>
      <w:r w:rsidRPr="002B4B5E">
        <w:rPr>
          <w:spacing w:val="-5"/>
        </w:rPr>
        <w:t xml:space="preserve"> Storie di Imprese, Il Mulino, Bologna, pp. 838, 2015.</w:t>
      </w:r>
    </w:p>
    <w:p w14:paraId="380996C3" w14:textId="70C27EE0" w:rsidR="00ED74C4" w:rsidRDefault="00ED74C4" w:rsidP="001450B1">
      <w:pPr>
        <w:pStyle w:val="Testo1"/>
        <w:spacing w:before="0" w:line="240" w:lineRule="atLeast"/>
        <w:rPr>
          <w:spacing w:val="-5"/>
        </w:rPr>
      </w:pPr>
      <w:r w:rsidRPr="002B4B5E">
        <w:rPr>
          <w:smallCaps/>
          <w:spacing w:val="-5"/>
          <w:sz w:val="16"/>
        </w:rPr>
        <w:t>C. Bellavite Pellegrini,</w:t>
      </w:r>
      <w:r w:rsidRPr="002B4B5E">
        <w:rPr>
          <w:i/>
          <w:spacing w:val="-5"/>
        </w:rPr>
        <w:t xml:space="preserve"> Una storia italiana. Dal Banco Ambrosiano a Intesa Sanpaolo – Con i Diari di Carlo Azeglio Ciampi,</w:t>
      </w:r>
      <w:r w:rsidRPr="002B4B5E">
        <w:rPr>
          <w:spacing w:val="-5"/>
        </w:rPr>
        <w:t xml:space="preserve"> Il Mulino, Bologna, 2013, pp. 562.</w:t>
      </w:r>
    </w:p>
    <w:p w14:paraId="62E993AD" w14:textId="77777777" w:rsidR="00ED74C4" w:rsidRPr="002B4B5E" w:rsidRDefault="00ED74C4" w:rsidP="001450B1">
      <w:pPr>
        <w:pStyle w:val="Testo1"/>
        <w:spacing w:before="0" w:line="240" w:lineRule="atLeast"/>
        <w:rPr>
          <w:spacing w:val="-5"/>
        </w:rPr>
      </w:pPr>
      <w:r w:rsidRPr="002B4B5E">
        <w:rPr>
          <w:smallCaps/>
          <w:spacing w:val="-5"/>
          <w:sz w:val="16"/>
        </w:rPr>
        <w:t>G. Bosi-S. Trento,</w:t>
      </w:r>
      <w:r w:rsidRPr="002B4B5E">
        <w:rPr>
          <w:i/>
          <w:spacing w:val="-5"/>
        </w:rPr>
        <w:t xml:space="preserve"> Il governo dell’impresa. Economa e diritto della corporate governance,</w:t>
      </w:r>
      <w:r w:rsidRPr="002B4B5E">
        <w:rPr>
          <w:spacing w:val="-5"/>
        </w:rPr>
        <w:t xml:space="preserve"> Il Mulino, Bologna, 2012.</w:t>
      </w:r>
    </w:p>
    <w:p w14:paraId="35D32FB6" w14:textId="77777777" w:rsidR="00ED74C4" w:rsidRPr="001450B1" w:rsidRDefault="00ED74C4" w:rsidP="001450B1">
      <w:pPr>
        <w:pStyle w:val="Testo1"/>
        <w:spacing w:before="0" w:line="240" w:lineRule="atLeast"/>
        <w:rPr>
          <w:spacing w:val="-5"/>
        </w:rPr>
      </w:pPr>
      <w:r w:rsidRPr="002B4B5E">
        <w:rPr>
          <w:smallCaps/>
          <w:spacing w:val="-5"/>
          <w:sz w:val="16"/>
        </w:rPr>
        <w:t>C. Bellavite Pellegrini,</w:t>
      </w:r>
      <w:r w:rsidRPr="002B4B5E">
        <w:rPr>
          <w:i/>
          <w:spacing w:val="-5"/>
        </w:rPr>
        <w:t xml:space="preserve"> Modelli d’equilibrio e fondamentali d’impresa - I rendimenti azionari nell’area dell’euro,</w:t>
      </w:r>
      <w:r w:rsidRPr="002B4B5E">
        <w:rPr>
          <w:spacing w:val="-5"/>
        </w:rPr>
        <w:t xml:space="preserve"> Carocci, Roma, 2008.</w:t>
      </w:r>
    </w:p>
    <w:p w14:paraId="291B871C" w14:textId="3836F92F" w:rsidR="00ED74C4" w:rsidRDefault="00ED74C4" w:rsidP="00ED74C4">
      <w:pPr>
        <w:pStyle w:val="Testo1"/>
      </w:pPr>
      <w:r w:rsidRPr="00834841">
        <w:t>È possibile che durante le lezioni vengano forniti riferimenti bibliografici aggiuntivi ed altro materiale didattico.</w:t>
      </w:r>
    </w:p>
    <w:p w14:paraId="201B1584" w14:textId="43D099BA" w:rsidR="00ED74C4" w:rsidRDefault="00ED74C4" w:rsidP="00ED74C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DBE4EC6" w14:textId="77777777" w:rsidR="00D345B9" w:rsidRDefault="00ED74C4" w:rsidP="00970075">
      <w:pPr>
        <w:pStyle w:val="Testo2"/>
      </w:pPr>
      <w:r w:rsidRPr="001450B1">
        <w:t>Il corso prevede sia una didattica frontale, articolata tra lezioni teoriche</w:t>
      </w:r>
      <w:r w:rsidR="00970075">
        <w:t>,</w:t>
      </w:r>
      <w:r w:rsidRPr="001450B1">
        <w:t xml:space="preserve"> presentazioni in aula svolti sia dal docente sia dagli studenti, </w:t>
      </w:r>
      <w:r w:rsidR="00970075">
        <w:t>e la presenza di</w:t>
      </w:r>
      <w:r w:rsidRPr="001450B1">
        <w:t xml:space="preserve"> qualificati interventi di esperti esterni.</w:t>
      </w:r>
    </w:p>
    <w:p w14:paraId="0605D769" w14:textId="5A65AFC6" w:rsidR="00970075" w:rsidRDefault="00FA6167" w:rsidP="00970075">
      <w:pPr>
        <w:pStyle w:val="Testo2"/>
        <w:rPr>
          <w:rFonts w:ascii="Garamond" w:hAnsi="Garamond"/>
          <w:noProof w:val="0"/>
          <w:sz w:val="24"/>
          <w:szCs w:val="24"/>
        </w:rPr>
      </w:pPr>
      <w:r>
        <w:t>È</w:t>
      </w:r>
      <w:r w:rsidR="00970075" w:rsidRPr="00261A91">
        <w:t xml:space="preserve"> prevista l’attivazione di un modulo </w:t>
      </w:r>
      <w:r w:rsidR="00970075" w:rsidRPr="00CF5347">
        <w:t>aggiuntivo di 12 ore a</w:t>
      </w:r>
      <w:r w:rsidR="00970075" w:rsidRPr="00261A91">
        <w:t xml:space="preserve"> cura del dott. Marco Seracini</w:t>
      </w:r>
      <w:r w:rsidR="0056463D">
        <w:t>.</w:t>
      </w:r>
    </w:p>
    <w:p w14:paraId="2B4607B7" w14:textId="77777777" w:rsidR="00ED74C4" w:rsidRDefault="00ED74C4" w:rsidP="00ED74C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8A2BF0A" w14:textId="35AE620B" w:rsidR="00ED74C4" w:rsidRPr="001450B1" w:rsidRDefault="00970075" w:rsidP="001450B1">
      <w:pPr>
        <w:pStyle w:val="Testo2"/>
      </w:pPr>
      <w:r>
        <w:t>L</w:t>
      </w:r>
      <w:r w:rsidR="00ED74C4" w:rsidRPr="001450B1">
        <w:t>’esame si svolge in sede di appello d’esame</w:t>
      </w:r>
      <w:r w:rsidR="004B1240">
        <w:t xml:space="preserve"> ed è svolto in forma scritta. </w:t>
      </w:r>
      <w:r w:rsidR="00ED74C4" w:rsidRPr="001450B1">
        <w:t xml:space="preserve">La prova consiste in 3 domande di natura teorica, di durata indicativa di circa 120 minuti complessivi. </w:t>
      </w:r>
    </w:p>
    <w:p w14:paraId="5687A804" w14:textId="77777777" w:rsidR="00ED74C4" w:rsidRPr="001450B1" w:rsidRDefault="00ED74C4" w:rsidP="001450B1">
      <w:pPr>
        <w:pStyle w:val="Testo2"/>
      </w:pPr>
      <w:r w:rsidRPr="001450B1">
        <w:t xml:space="preserve">Tale prova è volta a valutare la preparazione complessiva dello studente, sia per quanto riguarda gli aspetti istituzionali e fondamentali della </w:t>
      </w:r>
      <w:r w:rsidRPr="004B1240">
        <w:rPr>
          <w:i/>
        </w:rPr>
        <w:t>corporate governance</w:t>
      </w:r>
      <w:r w:rsidRPr="001450B1">
        <w:t xml:space="preserve">, sia in relazione alle declinazioni applicative ed empiriche a casi concreti degli stessi. Mediante la prova scritta </w:t>
      </w:r>
      <w:r w:rsidRPr="001450B1">
        <w:lastRenderedPageBreak/>
        <w:t>gli studenti dovranno innanzitutto dimostrare di conoscere e di sapersi orientare trai i temi e le questioni di fondo discussi durante le lezioni. Ai fini della valutazione concorreranno la</w:t>
      </w:r>
      <w:r w:rsidRPr="00834841">
        <w:t xml:space="preserve"> </w:t>
      </w:r>
      <w:r w:rsidRPr="001450B1">
        <w:t xml:space="preserve">pertinenza delle risposte, l’uso appropriato della terminologia specifica, la strutturazione argomentata e coerente del dicorso, la capacità di individuare nessi concettuali. </w:t>
      </w:r>
    </w:p>
    <w:p w14:paraId="2D4582F0" w14:textId="038F9E55" w:rsidR="00ED74C4" w:rsidRPr="001450B1" w:rsidRDefault="00970075" w:rsidP="001450B1">
      <w:pPr>
        <w:pStyle w:val="Testo2"/>
      </w:pPr>
      <w:r>
        <w:t xml:space="preserve">Per gli studenti frequentanti è prevista </w:t>
      </w:r>
      <w:r w:rsidR="00ED74C4" w:rsidRPr="001450B1">
        <w:t xml:space="preserve">la possibilità prevista per gli studenti frequentanti, di sviluppare, su invito del docente, </w:t>
      </w:r>
      <w:r w:rsidR="00ED74C4" w:rsidRPr="004B1240">
        <w:rPr>
          <w:i/>
        </w:rPr>
        <w:t>case-study e assignment</w:t>
      </w:r>
      <w:r w:rsidR="00ED74C4" w:rsidRPr="001450B1">
        <w:t xml:space="preserve">. Tali progetti concorreranno nella </w:t>
      </w:r>
      <w:r w:rsidR="00ED74C4" w:rsidRPr="00CF5347">
        <w:t>valutazione complessiva dell’esame, nella misura del 2</w:t>
      </w:r>
      <w:r w:rsidR="00CF5347" w:rsidRPr="00CF5347">
        <w:t>5</w:t>
      </w:r>
      <w:r w:rsidR="00ED74C4" w:rsidRPr="00CF5347">
        <w:t>% dell’esito complessivo.</w:t>
      </w:r>
    </w:p>
    <w:p w14:paraId="5EBCF0BA" w14:textId="77777777" w:rsidR="00ED74C4" w:rsidRDefault="00ED74C4" w:rsidP="00ED74C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16BEA9D" w14:textId="77777777" w:rsidR="00ED74C4" w:rsidRPr="001450B1" w:rsidRDefault="00ED74C4" w:rsidP="001450B1">
      <w:pPr>
        <w:pStyle w:val="Testo2"/>
      </w:pPr>
      <w:r w:rsidRPr="001450B1">
        <w:t>Prima di accedere al corso lo studente dovrebbe:</w:t>
      </w:r>
    </w:p>
    <w:p w14:paraId="741430BF" w14:textId="77777777" w:rsidR="00ED74C4" w:rsidRPr="004B1240" w:rsidRDefault="00ED74C4" w:rsidP="004B1240">
      <w:pPr>
        <w:pStyle w:val="Testo2"/>
        <w:numPr>
          <w:ilvl w:val="0"/>
          <w:numId w:val="3"/>
        </w:numPr>
        <w:ind w:left="567" w:hanging="283"/>
      </w:pPr>
      <w:r w:rsidRPr="004B1240">
        <w:t>aver una solida conoscenza di base dei principali temi dell’Economia Aziendale e di Ragioneria;</w:t>
      </w:r>
    </w:p>
    <w:p w14:paraId="459EF391" w14:textId="77777777" w:rsidR="00ED74C4" w:rsidRPr="004B1240" w:rsidRDefault="00ED74C4" w:rsidP="004B1240">
      <w:pPr>
        <w:pStyle w:val="Testo2"/>
        <w:numPr>
          <w:ilvl w:val="0"/>
          <w:numId w:val="3"/>
        </w:numPr>
        <w:ind w:left="567" w:hanging="283"/>
      </w:pPr>
      <w:r w:rsidRPr="004B1240">
        <w:t>avere una solida conoscenza di base dei principali temi di Finanza Aziendale;</w:t>
      </w:r>
    </w:p>
    <w:p w14:paraId="7DF2D5F7" w14:textId="77777777" w:rsidR="00ED74C4" w:rsidRPr="004B1240" w:rsidRDefault="00ED74C4" w:rsidP="004B1240">
      <w:pPr>
        <w:pStyle w:val="Testo2"/>
        <w:numPr>
          <w:ilvl w:val="0"/>
          <w:numId w:val="3"/>
        </w:numPr>
        <w:ind w:left="567" w:hanging="283"/>
      </w:pPr>
      <w:r w:rsidRPr="004B1240">
        <w:t>essere in possesso di una solida conoscenza di base in tema di Diritto Privato e Diritto Commerciale, nonché una conoscenza di base del mercato finanziario nel suo complesso;</w:t>
      </w:r>
    </w:p>
    <w:p w14:paraId="68077231" w14:textId="44D0D346" w:rsidR="00ED74C4" w:rsidRDefault="00ED74C4" w:rsidP="004B1240">
      <w:pPr>
        <w:pStyle w:val="Testo2"/>
        <w:numPr>
          <w:ilvl w:val="0"/>
          <w:numId w:val="3"/>
        </w:numPr>
        <w:ind w:left="567" w:hanging="283"/>
      </w:pPr>
      <w:r w:rsidRPr="004B1240">
        <w:t>essere in grado di condurre analisi e ragionamenti autonomi in merito ai concetti sopra esposti interpretando anche la significatività degli stessi.</w:t>
      </w:r>
    </w:p>
    <w:p w14:paraId="1AE32718" w14:textId="6ED055EF" w:rsidR="00D120E6" w:rsidRPr="00101837" w:rsidRDefault="00D120E6" w:rsidP="00D120E6">
      <w:pPr>
        <w:pStyle w:val="Testo2"/>
        <w:ind w:firstLine="0"/>
      </w:pPr>
      <w:r w:rsidRPr="00101837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0B4BF9C" w14:textId="0B8E3B4A" w:rsidR="00ED74C4" w:rsidRPr="00FA6167" w:rsidRDefault="00FA6167" w:rsidP="00FA6167">
      <w:pPr>
        <w:spacing w:before="120" w:line="240" w:lineRule="exact"/>
        <w:ind w:firstLine="284"/>
        <w:rPr>
          <w:rFonts w:ascii="Times" w:hAnsi="Times"/>
          <w:i/>
          <w:iCs/>
          <w:noProof/>
          <w:sz w:val="18"/>
        </w:rPr>
      </w:pPr>
      <w:r>
        <w:rPr>
          <w:rFonts w:ascii="Times" w:hAnsi="Times"/>
          <w:i/>
          <w:iCs/>
          <w:noProof/>
          <w:sz w:val="18"/>
        </w:rPr>
        <w:t>O</w:t>
      </w:r>
      <w:r w:rsidRPr="00FA6167">
        <w:rPr>
          <w:rFonts w:ascii="Times" w:hAnsi="Times"/>
          <w:i/>
          <w:iCs/>
          <w:noProof/>
          <w:sz w:val="18"/>
        </w:rPr>
        <w:t>rario e luogo di ricevimento</w:t>
      </w:r>
    </w:p>
    <w:p w14:paraId="544A6F94" w14:textId="468D7542" w:rsidR="00C03199" w:rsidRPr="00C03199" w:rsidRDefault="00C03199" w:rsidP="00C03199">
      <w:pPr>
        <w:pStyle w:val="Testo2"/>
        <w:spacing w:line="240" w:lineRule="auto"/>
      </w:pPr>
      <w:r w:rsidRPr="00C03199">
        <w:t xml:space="preserve">Il Prof. Carlo Bellavite Pellegrini riceve gli studenti presso l’Istituto di Politica Economica, piano 1° o in collegamento da remoto, secondo l’orario indicato negli avvisi pubblicati in blackboard e nella pagina web docente. La Prof.ssa Laura Pellegrini riceve presso l’Istituto di Politica Economica, piano 1° o in collegamento da remoto, su appuntamento: si prega di contattarla alla seguente mail: </w:t>
      </w:r>
      <w:hyperlink r:id="rId11" w:history="1">
        <w:r w:rsidRPr="00C03199">
          <w:t>laura.pellegrini@unicatt.it</w:t>
        </w:r>
      </w:hyperlink>
      <w:r w:rsidRPr="00C03199">
        <w:t>.</w:t>
      </w:r>
    </w:p>
    <w:p w14:paraId="46A770A2" w14:textId="53825246" w:rsidR="00C03199" w:rsidRPr="00C03199" w:rsidRDefault="00C03199" w:rsidP="00C03199">
      <w:pPr>
        <w:pStyle w:val="Testo2"/>
        <w:spacing w:line="240" w:lineRule="auto"/>
      </w:pPr>
      <w:r w:rsidRPr="00C03199">
        <w:t xml:space="preserve">La </w:t>
      </w:r>
      <w:r w:rsidR="008715DF">
        <w:t>Do</w:t>
      </w:r>
      <w:r w:rsidRPr="00C03199">
        <w:t>tt.ssa Claudia Cannas riceve</w:t>
      </w:r>
      <w:r w:rsidR="00B86D28">
        <w:t xml:space="preserve"> </w:t>
      </w:r>
      <w:r w:rsidR="00B86D28" w:rsidRPr="00C03199">
        <w:t>presso l’Istituto di Politica Economica, piano 1°</w:t>
      </w:r>
      <w:r w:rsidR="00B86D28">
        <w:t xml:space="preserve">, o </w:t>
      </w:r>
      <w:r w:rsidRPr="00C03199">
        <w:t>in collegamento da remoto, su appuntamento: si prega di contattarla alla seguente mail: claudia.cannas@</w:t>
      </w:r>
      <w:r w:rsidR="00F4101F">
        <w:t>unicatt.</w:t>
      </w:r>
      <w:r w:rsidRPr="00C03199">
        <w:t>it.</w:t>
      </w:r>
    </w:p>
    <w:sectPr w:rsidR="00C03199" w:rsidRPr="00C031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C18E" w14:textId="77777777" w:rsidR="00A9156A" w:rsidRDefault="00A9156A" w:rsidP="00A9156A">
      <w:r>
        <w:separator/>
      </w:r>
    </w:p>
  </w:endnote>
  <w:endnote w:type="continuationSeparator" w:id="0">
    <w:p w14:paraId="0320BAF6" w14:textId="77777777" w:rsidR="00A9156A" w:rsidRDefault="00A9156A" w:rsidP="00A9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5A06" w14:textId="77777777" w:rsidR="00A9156A" w:rsidRDefault="00A9156A" w:rsidP="00A9156A">
      <w:r>
        <w:separator/>
      </w:r>
    </w:p>
  </w:footnote>
  <w:footnote w:type="continuationSeparator" w:id="0">
    <w:p w14:paraId="27FE65C6" w14:textId="77777777" w:rsidR="00A9156A" w:rsidRDefault="00A9156A" w:rsidP="00A9156A">
      <w:r>
        <w:continuationSeparator/>
      </w:r>
    </w:p>
  </w:footnote>
  <w:footnote w:id="1">
    <w:p w14:paraId="7B742C13" w14:textId="0D6A1C04" w:rsidR="00A9156A" w:rsidRDefault="00A915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850"/>
    <w:multiLevelType w:val="hybridMultilevel"/>
    <w:tmpl w:val="BBECC014"/>
    <w:lvl w:ilvl="0" w:tplc="BE72B4DE">
      <w:numFmt w:val="bullet"/>
      <w:lvlText w:val="-"/>
      <w:lvlJc w:val="left"/>
      <w:pPr>
        <w:ind w:left="928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1621AE4"/>
    <w:multiLevelType w:val="hybridMultilevel"/>
    <w:tmpl w:val="E4843740"/>
    <w:lvl w:ilvl="0" w:tplc="A5600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6C19"/>
    <w:multiLevelType w:val="hybridMultilevel"/>
    <w:tmpl w:val="90FE0AE8"/>
    <w:lvl w:ilvl="0" w:tplc="C0062B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360710">
    <w:abstractNumId w:val="1"/>
  </w:num>
  <w:num w:numId="2" w16cid:durableId="2063214045">
    <w:abstractNumId w:val="0"/>
  </w:num>
  <w:num w:numId="3" w16cid:durableId="1655597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C4"/>
    <w:rsid w:val="0000429E"/>
    <w:rsid w:val="0002231D"/>
    <w:rsid w:val="000C7BB2"/>
    <w:rsid w:val="00101837"/>
    <w:rsid w:val="001103E5"/>
    <w:rsid w:val="001450B1"/>
    <w:rsid w:val="00187B99"/>
    <w:rsid w:val="002014DD"/>
    <w:rsid w:val="00261A91"/>
    <w:rsid w:val="002B4B5E"/>
    <w:rsid w:val="002D5E17"/>
    <w:rsid w:val="002E4DD8"/>
    <w:rsid w:val="00310017"/>
    <w:rsid w:val="00312D67"/>
    <w:rsid w:val="00340481"/>
    <w:rsid w:val="00341006"/>
    <w:rsid w:val="003D7450"/>
    <w:rsid w:val="00450B81"/>
    <w:rsid w:val="00462022"/>
    <w:rsid w:val="004B1240"/>
    <w:rsid w:val="004C1ABB"/>
    <w:rsid w:val="004D1217"/>
    <w:rsid w:val="004D6008"/>
    <w:rsid w:val="0056463D"/>
    <w:rsid w:val="005729C2"/>
    <w:rsid w:val="005D4649"/>
    <w:rsid w:val="00640794"/>
    <w:rsid w:val="006B3A5C"/>
    <w:rsid w:val="006E5B52"/>
    <w:rsid w:val="006F1772"/>
    <w:rsid w:val="00745F25"/>
    <w:rsid w:val="007A15A2"/>
    <w:rsid w:val="007E6446"/>
    <w:rsid w:val="008715DF"/>
    <w:rsid w:val="008841CC"/>
    <w:rsid w:val="00884944"/>
    <w:rsid w:val="008942E7"/>
    <w:rsid w:val="0089782C"/>
    <w:rsid w:val="008A1204"/>
    <w:rsid w:val="00900CCA"/>
    <w:rsid w:val="00924B77"/>
    <w:rsid w:val="00940DA2"/>
    <w:rsid w:val="00970075"/>
    <w:rsid w:val="009E055C"/>
    <w:rsid w:val="00A74F6F"/>
    <w:rsid w:val="00A9156A"/>
    <w:rsid w:val="00A96733"/>
    <w:rsid w:val="00AD7557"/>
    <w:rsid w:val="00B02672"/>
    <w:rsid w:val="00B50C5D"/>
    <w:rsid w:val="00B51253"/>
    <w:rsid w:val="00B525CC"/>
    <w:rsid w:val="00B61BC2"/>
    <w:rsid w:val="00B86D28"/>
    <w:rsid w:val="00C03199"/>
    <w:rsid w:val="00CA3142"/>
    <w:rsid w:val="00CB4650"/>
    <w:rsid w:val="00CD00F8"/>
    <w:rsid w:val="00CF5347"/>
    <w:rsid w:val="00D120E6"/>
    <w:rsid w:val="00D345B9"/>
    <w:rsid w:val="00D404F2"/>
    <w:rsid w:val="00DC79ED"/>
    <w:rsid w:val="00E607E6"/>
    <w:rsid w:val="00ED74C4"/>
    <w:rsid w:val="00F4101F"/>
    <w:rsid w:val="00FA6167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368D1"/>
  <w15:chartTrackingRefBased/>
  <w15:docId w15:val="{BAB9C47E-2E19-4282-937D-0FCBA646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74C4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D74C4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ED74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D74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rsid w:val="000C7B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C7BB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9156A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156A"/>
  </w:style>
  <w:style w:type="character" w:styleId="Rimandonotaapidipagina">
    <w:name w:val="footnote reference"/>
    <w:basedOn w:val="Carpredefinitoparagrafo"/>
    <w:rsid w:val="00A9156A"/>
    <w:rPr>
      <w:vertAlign w:val="superscript"/>
    </w:rPr>
  </w:style>
  <w:style w:type="character" w:styleId="Collegamentoipertestuale">
    <w:name w:val="Hyperlink"/>
    <w:basedOn w:val="Carpredefinitoparagrafo"/>
    <w:rsid w:val="00A9156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1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ierpaolo-singer-carlo-alessandro-sirianni/la-corporate-governance-elementi-di-teoria-e-profili-operativi-9788892102507-55086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pellegrin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francesco-chiappetta/diritto-del-governo-societario-la-corporate-governance-delle-societa-quotate-9788813368944-6802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onks-minow/corporate-governance-9780470972595-25370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B560-8171-4143-A088-B37DFB46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23</TotalTime>
  <Pages>5</Pages>
  <Words>1705</Words>
  <Characters>11046</Characters>
  <Application>Microsoft Office Word</Application>
  <DocSecurity>0</DocSecurity>
  <Lines>92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27</cp:revision>
  <cp:lastPrinted>2019-05-08T08:35:00Z</cp:lastPrinted>
  <dcterms:created xsi:type="dcterms:W3CDTF">2022-05-30T10:09:00Z</dcterms:created>
  <dcterms:modified xsi:type="dcterms:W3CDTF">2023-06-23T13:15:00Z</dcterms:modified>
</cp:coreProperties>
</file>