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3155" w14:textId="77777777" w:rsidR="00D312ED" w:rsidRPr="00765B7B" w:rsidRDefault="00D312ED" w:rsidP="00D312ED">
      <w:pPr>
        <w:pStyle w:val="Titolo1"/>
      </w:pPr>
      <w:r w:rsidRPr="00765B7B">
        <w:t>Asset pricing</w:t>
      </w:r>
    </w:p>
    <w:p w14:paraId="1923581B" w14:textId="77777777" w:rsidR="00D312ED" w:rsidRPr="00765B7B" w:rsidRDefault="00D312ED" w:rsidP="00D312ED">
      <w:pPr>
        <w:pStyle w:val="Titolo2"/>
      </w:pPr>
      <w:r w:rsidRPr="00765B7B">
        <w:t>Prof. Marzia De Donno; Prof. Alessandro Sbuelz</w:t>
      </w:r>
    </w:p>
    <w:p w14:paraId="7BF7CF8F" w14:textId="77777777" w:rsidR="00D312ED" w:rsidRPr="00765B7B" w:rsidRDefault="00D312ED" w:rsidP="00D312ED">
      <w:pPr>
        <w:spacing w:before="240" w:after="120" w:line="240" w:lineRule="exact"/>
        <w:rPr>
          <w:b/>
          <w:sz w:val="18"/>
        </w:rPr>
      </w:pPr>
      <w:r w:rsidRPr="00765B7B">
        <w:rPr>
          <w:b/>
          <w:i/>
          <w:sz w:val="18"/>
        </w:rPr>
        <w:t>OBIETTIVO DEL CORSO E RISULTATI DI APPRENDIMENTO ATTESI</w:t>
      </w:r>
    </w:p>
    <w:p w14:paraId="5D3849D1" w14:textId="77777777" w:rsidR="002232B8" w:rsidRDefault="00D312ED" w:rsidP="002232B8">
      <w:pPr>
        <w:spacing w:line="240" w:lineRule="exact"/>
        <w:rPr>
          <w:rFonts w:cs="Times"/>
        </w:rPr>
      </w:pPr>
      <w:r w:rsidRPr="00765B7B">
        <w:rPr>
          <w:rFonts w:cs="Times"/>
        </w:rPr>
        <w:t xml:space="preserve">Il corso si propone di fornire agli studenti gli strumenti necessari alla comprensione teorica ed applicata dei moderni modelli di valutazione dei titoli finanziari. I risultati attesi di apprendimento sono le capacità di interpretazione quantitativa e finanziaria dei rendimenti dei titoli offerti presso i </w:t>
      </w:r>
      <w:r w:rsidRPr="00765B7B">
        <w:rPr>
          <w:rFonts w:cs="Times"/>
          <w:i/>
        </w:rPr>
        <w:t>capital markets</w:t>
      </w:r>
      <w:r w:rsidRPr="00765B7B">
        <w:rPr>
          <w:rFonts w:cs="Times"/>
        </w:rPr>
        <w:t xml:space="preserve"> e dei contratti derivati scritti sulle materie prime.</w:t>
      </w:r>
    </w:p>
    <w:p w14:paraId="260F9781" w14:textId="5374C1D9" w:rsidR="00D312ED" w:rsidRPr="002232B8" w:rsidRDefault="00D312ED" w:rsidP="002232B8">
      <w:pPr>
        <w:spacing w:line="240" w:lineRule="exact"/>
        <w:rPr>
          <w:rFonts w:cs="Times"/>
        </w:rPr>
      </w:pPr>
      <w:r w:rsidRPr="00765B7B">
        <w:t>Al termine del corso i partecipanti avranno solide competenze tecniche per la valutazione di titoli/attività trattati sui mercati finanziari. In particolare, saranno in grado di:</w:t>
      </w:r>
    </w:p>
    <w:p w14:paraId="3F33F7B8" w14:textId="73113DA8" w:rsidR="00D312ED" w:rsidRPr="00765B7B" w:rsidRDefault="002232B8" w:rsidP="00D312ED">
      <w:pPr>
        <w:ind w:left="284" w:hangingChars="142" w:hanging="284"/>
        <w:rPr>
          <w:rFonts w:cs="Times"/>
        </w:rPr>
      </w:pPr>
      <w:r>
        <w:rPr>
          <w:rFonts w:cs="Times"/>
        </w:rPr>
        <w:t>–</w:t>
      </w:r>
      <w:r>
        <w:rPr>
          <w:rFonts w:cs="Times"/>
        </w:rPr>
        <w:tab/>
        <w:t>u</w:t>
      </w:r>
      <w:r w:rsidR="00D312ED" w:rsidRPr="00765B7B">
        <w:rPr>
          <w:rFonts w:cs="Times"/>
        </w:rPr>
        <w:t xml:space="preserve">sare un paradigma omogeneo ma flessibile di valutazione; </w:t>
      </w:r>
    </w:p>
    <w:p w14:paraId="47B32F1A" w14:textId="77777777" w:rsidR="00D312ED" w:rsidRPr="00765B7B" w:rsidRDefault="00D312ED" w:rsidP="00D312ED">
      <w:pPr>
        <w:ind w:left="284" w:hangingChars="142" w:hanging="284"/>
        <w:rPr>
          <w:rFonts w:cs="Times"/>
        </w:rPr>
      </w:pPr>
      <w:r w:rsidRPr="00765B7B">
        <w:rPr>
          <w:rFonts w:cs="Times"/>
        </w:rPr>
        <w:t>–</w:t>
      </w:r>
      <w:r w:rsidRPr="00765B7B">
        <w:rPr>
          <w:rFonts w:cs="Times"/>
        </w:rPr>
        <w:tab/>
        <w:t xml:space="preserve">quantificare i rendimenti attesi di titoli derivati scritti su tassi o su </w:t>
      </w:r>
      <w:r w:rsidRPr="00765B7B">
        <w:rPr>
          <w:rFonts w:cs="Times"/>
          <w:i/>
        </w:rPr>
        <w:t>non-tradable underlyings</w:t>
      </w:r>
      <w:r w:rsidRPr="00765B7B">
        <w:rPr>
          <w:rFonts w:cs="Times"/>
        </w:rPr>
        <w:t>;</w:t>
      </w:r>
    </w:p>
    <w:p w14:paraId="4022C971" w14:textId="192B36D6" w:rsidR="00D312ED" w:rsidRPr="00765B7B" w:rsidRDefault="00D312ED" w:rsidP="00D312ED">
      <w:pPr>
        <w:ind w:left="284" w:hangingChars="142" w:hanging="284"/>
        <w:rPr>
          <w:rFonts w:cs="Times"/>
        </w:rPr>
      </w:pPr>
      <w:r w:rsidRPr="00765B7B">
        <w:rPr>
          <w:rFonts w:cs="Times"/>
        </w:rPr>
        <w:t>–</w:t>
      </w:r>
      <w:r w:rsidRPr="00765B7B">
        <w:rPr>
          <w:rFonts w:cs="Times"/>
        </w:rPr>
        <w:tab/>
        <w:t>interpretare i premi dovuti all’esposizione al rischio sistematico delle diverse attività finanziarie</w:t>
      </w:r>
      <w:r w:rsidR="004D76EC" w:rsidRPr="00765B7B">
        <w:rPr>
          <w:rFonts w:cs="Times"/>
        </w:rPr>
        <w:t>;</w:t>
      </w:r>
    </w:p>
    <w:p w14:paraId="29E3701B" w14:textId="434E75B7" w:rsidR="004D76EC" w:rsidRDefault="004D76EC" w:rsidP="00D312ED">
      <w:pPr>
        <w:ind w:left="284" w:hangingChars="142" w:hanging="284"/>
        <w:rPr>
          <w:rFonts w:cs="Times"/>
        </w:rPr>
      </w:pPr>
      <w:r w:rsidRPr="00765B7B">
        <w:rPr>
          <w:rFonts w:cs="Times"/>
        </w:rPr>
        <w:t>–</w:t>
      </w:r>
      <w:r w:rsidRPr="00765B7B">
        <w:rPr>
          <w:rFonts w:cs="Times"/>
        </w:rPr>
        <w:tab/>
        <w:t xml:space="preserve">quantificare l’effetto di </w:t>
      </w:r>
      <w:r w:rsidRPr="00765B7B">
        <w:rPr>
          <w:rFonts w:cs="Times"/>
          <w:i/>
          <w:iCs/>
        </w:rPr>
        <w:t>pricing</w:t>
      </w:r>
      <w:r w:rsidRPr="00765B7B">
        <w:rPr>
          <w:rFonts w:cs="Times"/>
        </w:rPr>
        <w:t xml:space="preserve"> di fonti</w:t>
      </w:r>
      <w:r w:rsidR="00A1070D" w:rsidRPr="00765B7B">
        <w:rPr>
          <w:rFonts w:cs="Times"/>
        </w:rPr>
        <w:t xml:space="preserve"> multiple</w:t>
      </w:r>
      <w:r w:rsidRPr="00765B7B">
        <w:rPr>
          <w:rFonts w:cs="Times"/>
        </w:rPr>
        <w:t xml:space="preserve"> di rischio sistematico (</w:t>
      </w:r>
      <w:r w:rsidR="004438BF" w:rsidRPr="00765B7B">
        <w:rPr>
          <w:rFonts w:cs="Times"/>
          <w:i/>
          <w:iCs/>
        </w:rPr>
        <w:t>cashflow risk</w:t>
      </w:r>
      <w:r w:rsidR="004438BF" w:rsidRPr="00765B7B">
        <w:rPr>
          <w:rFonts w:cs="Times"/>
        </w:rPr>
        <w:t xml:space="preserve"> e </w:t>
      </w:r>
      <w:r w:rsidR="004438BF" w:rsidRPr="00765B7B">
        <w:rPr>
          <w:rFonts w:cs="Times"/>
          <w:i/>
          <w:iCs/>
        </w:rPr>
        <w:t>interest rate risk</w:t>
      </w:r>
      <w:r w:rsidR="002232B8">
        <w:rPr>
          <w:rFonts w:cs="Times"/>
        </w:rPr>
        <w:t>);</w:t>
      </w:r>
    </w:p>
    <w:p w14:paraId="00284859" w14:textId="3E127C55" w:rsidR="002232B8" w:rsidRDefault="002232B8" w:rsidP="002232B8">
      <w:pPr>
        <w:ind w:left="284" w:hangingChars="142" w:hanging="284"/>
        <w:rPr>
          <w:rFonts w:cs="Times"/>
        </w:rPr>
      </w:pPr>
      <w:r>
        <w:rPr>
          <w:rFonts w:cs="Times"/>
        </w:rPr>
        <w:t>–</w:t>
      </w:r>
      <w:r>
        <w:rPr>
          <w:rFonts w:cs="Times"/>
        </w:rPr>
        <w:tab/>
        <w:t xml:space="preserve">calibrare empiricamente il modello di Gibson-Schwartz del mercato a pronti </w:t>
      </w:r>
      <w:r w:rsidR="008152D9">
        <w:rPr>
          <w:rFonts w:cs="Times"/>
        </w:rPr>
        <w:t>e</w:t>
      </w:r>
      <w:r>
        <w:rPr>
          <w:rFonts w:cs="Times"/>
        </w:rPr>
        <w:t xml:space="preserve"> del mercato </w:t>
      </w:r>
      <w:r w:rsidRPr="002232B8">
        <w:rPr>
          <w:rFonts w:cs="Times"/>
          <w:i/>
        </w:rPr>
        <w:t>futures</w:t>
      </w:r>
      <w:r>
        <w:rPr>
          <w:rFonts w:cs="Times"/>
        </w:rPr>
        <w:t xml:space="preserve"> delle materie prime in presenza di </w:t>
      </w:r>
      <w:r w:rsidRPr="002232B8">
        <w:rPr>
          <w:rFonts w:cs="Times"/>
          <w:i/>
        </w:rPr>
        <w:t>convenience yield risk</w:t>
      </w:r>
      <w:r>
        <w:rPr>
          <w:rFonts w:cs="Times"/>
        </w:rPr>
        <w:t>;</w:t>
      </w:r>
    </w:p>
    <w:p w14:paraId="5C599057" w14:textId="77777777" w:rsidR="002232B8" w:rsidRPr="00765B7B" w:rsidRDefault="002232B8" w:rsidP="002232B8">
      <w:pPr>
        <w:spacing w:before="240" w:after="120" w:line="240" w:lineRule="exact"/>
        <w:rPr>
          <w:b/>
          <w:sz w:val="18"/>
        </w:rPr>
      </w:pPr>
      <w:r w:rsidRPr="00765B7B">
        <w:rPr>
          <w:b/>
          <w:i/>
          <w:sz w:val="18"/>
        </w:rPr>
        <w:t>PROGRAMMA DEL CORSO</w:t>
      </w:r>
    </w:p>
    <w:p w14:paraId="1196DB74" w14:textId="13EE32B8" w:rsidR="00D312ED" w:rsidRPr="003D62C2" w:rsidRDefault="00753EAA" w:rsidP="00D312ED">
      <w:pPr>
        <w:spacing w:before="120"/>
        <w:ind w:left="284" w:hanging="284"/>
        <w:rPr>
          <w:rFonts w:cs="Times"/>
          <w:iCs/>
          <w:u w:val="single"/>
        </w:rPr>
      </w:pPr>
      <w:r w:rsidRPr="003D62C2">
        <w:rPr>
          <w:rFonts w:cs="Times"/>
          <w:iCs/>
          <w:u w:val="single"/>
        </w:rPr>
        <w:t>Primo modulo (4 CFU)</w:t>
      </w:r>
    </w:p>
    <w:p w14:paraId="0422671A" w14:textId="77777777" w:rsidR="00D312ED" w:rsidRPr="00765B7B" w:rsidRDefault="00D312ED" w:rsidP="00D312ED">
      <w:pPr>
        <w:ind w:left="284" w:hangingChars="142" w:hanging="284"/>
        <w:rPr>
          <w:rFonts w:cs="Times"/>
        </w:rPr>
      </w:pPr>
      <w:r w:rsidRPr="00765B7B">
        <w:rPr>
          <w:rFonts w:cs="Times"/>
        </w:rPr>
        <w:t>–</w:t>
      </w:r>
      <w:r w:rsidRPr="00765B7B">
        <w:rPr>
          <w:rFonts w:cs="Times"/>
        </w:rPr>
        <w:tab/>
        <w:t xml:space="preserve">Valutazione di titoli derivati che erogano pagamenti in forma di </w:t>
      </w:r>
      <w:r w:rsidRPr="00765B7B">
        <w:rPr>
          <w:rFonts w:cs="Times"/>
          <w:i/>
        </w:rPr>
        <w:t>payoffs</w:t>
      </w:r>
      <w:r w:rsidRPr="00765B7B">
        <w:rPr>
          <w:rFonts w:cs="Times"/>
        </w:rPr>
        <w:t xml:space="preserve"> e/o </w:t>
      </w:r>
      <w:r w:rsidRPr="00765B7B">
        <w:rPr>
          <w:rFonts w:cs="Times"/>
          <w:i/>
        </w:rPr>
        <w:t>payouts</w:t>
      </w:r>
      <w:r w:rsidRPr="00765B7B">
        <w:rPr>
          <w:rFonts w:cs="Times"/>
        </w:rPr>
        <w:t>.</w:t>
      </w:r>
    </w:p>
    <w:p w14:paraId="36DA15C1" w14:textId="77777777" w:rsidR="00D312ED" w:rsidRPr="00765B7B" w:rsidRDefault="00D312ED" w:rsidP="00D312ED">
      <w:pPr>
        <w:ind w:left="284" w:hangingChars="142" w:hanging="284"/>
        <w:rPr>
          <w:rFonts w:cs="Times"/>
        </w:rPr>
      </w:pPr>
      <w:r w:rsidRPr="00765B7B">
        <w:rPr>
          <w:rFonts w:cs="Times"/>
        </w:rPr>
        <w:t>–</w:t>
      </w:r>
      <w:r w:rsidRPr="00765B7B">
        <w:rPr>
          <w:rFonts w:cs="Times"/>
        </w:rPr>
        <w:tab/>
        <w:t>Valutazione delle opzioni americane perpetue ed analisi della loro politica ottima di esercizio.</w:t>
      </w:r>
    </w:p>
    <w:p w14:paraId="03DA1AFA" w14:textId="1E6AB0DA" w:rsidR="00753EAA" w:rsidRDefault="00D312ED" w:rsidP="003D62C2">
      <w:pPr>
        <w:ind w:left="284" w:hangingChars="142" w:hanging="284"/>
        <w:rPr>
          <w:rFonts w:cs="Times"/>
        </w:rPr>
      </w:pPr>
      <w:r w:rsidRPr="00765B7B">
        <w:rPr>
          <w:rFonts w:cs="Times"/>
        </w:rPr>
        <w:t>–</w:t>
      </w:r>
      <w:r w:rsidRPr="00765B7B">
        <w:rPr>
          <w:rFonts w:cs="Times"/>
        </w:rPr>
        <w:tab/>
        <w:t>Dinamica del prez</w:t>
      </w:r>
      <w:r w:rsidR="003D62C2">
        <w:rPr>
          <w:rFonts w:cs="Times"/>
        </w:rPr>
        <w:t>zo a pronti delle materie prime ed a</w:t>
      </w:r>
      <w:r w:rsidRPr="00765B7B">
        <w:rPr>
          <w:rFonts w:cs="Times"/>
        </w:rPr>
        <w:t xml:space="preserve">nalisi della struttura a termine dei prezzi </w:t>
      </w:r>
      <w:r w:rsidRPr="00765B7B">
        <w:rPr>
          <w:rFonts w:cs="Times"/>
          <w:i/>
        </w:rPr>
        <w:t>futures</w:t>
      </w:r>
      <w:r w:rsidRPr="00765B7B">
        <w:rPr>
          <w:rFonts w:cs="Times"/>
        </w:rPr>
        <w:t xml:space="preserve"> delle materie prime.</w:t>
      </w:r>
    </w:p>
    <w:p w14:paraId="7082C997" w14:textId="0E73BAB9" w:rsidR="003D62C2" w:rsidRPr="003D62C2" w:rsidRDefault="003D62C2" w:rsidP="00D312ED">
      <w:pPr>
        <w:ind w:left="284" w:hangingChars="142" w:hanging="284"/>
        <w:rPr>
          <w:rFonts w:cs="Times"/>
          <w:u w:val="single"/>
        </w:rPr>
      </w:pPr>
      <w:r w:rsidRPr="003D62C2">
        <w:rPr>
          <w:rFonts w:cs="Times"/>
          <w:u w:val="single"/>
        </w:rPr>
        <w:t>Secondo modulo (4 CFU)</w:t>
      </w:r>
    </w:p>
    <w:p w14:paraId="40AE8358" w14:textId="665C9649" w:rsidR="00A1070D" w:rsidRPr="00765B7B" w:rsidRDefault="00A1070D" w:rsidP="00D312ED">
      <w:pPr>
        <w:ind w:left="284" w:hangingChars="142" w:hanging="284"/>
        <w:rPr>
          <w:rFonts w:cs="Times"/>
        </w:rPr>
      </w:pPr>
      <w:r w:rsidRPr="00765B7B">
        <w:rPr>
          <w:rFonts w:cs="Times"/>
        </w:rPr>
        <w:t>–</w:t>
      </w:r>
      <w:r w:rsidRPr="00765B7B">
        <w:rPr>
          <w:rFonts w:cs="Times"/>
        </w:rPr>
        <w:tab/>
      </w:r>
      <w:r w:rsidR="003D62C2">
        <w:rPr>
          <w:rFonts w:cs="Times"/>
        </w:rPr>
        <w:t>Analisi dei processi stocastici utili alla r</w:t>
      </w:r>
      <w:r w:rsidRPr="00765B7B">
        <w:rPr>
          <w:rFonts w:cs="Times"/>
        </w:rPr>
        <w:t xml:space="preserve">appresentazione congiunta di </w:t>
      </w:r>
      <w:r w:rsidRPr="00765B7B">
        <w:rPr>
          <w:rFonts w:cs="Times"/>
          <w:i/>
          <w:iCs/>
        </w:rPr>
        <w:t>cashflow risk</w:t>
      </w:r>
      <w:r w:rsidRPr="00765B7B">
        <w:rPr>
          <w:rFonts w:cs="Times"/>
        </w:rPr>
        <w:t xml:space="preserve"> e </w:t>
      </w:r>
      <w:r w:rsidRPr="00765B7B">
        <w:rPr>
          <w:rFonts w:cs="Times"/>
          <w:i/>
          <w:iCs/>
        </w:rPr>
        <w:t>interest rate risk</w:t>
      </w:r>
      <w:r w:rsidRPr="00765B7B">
        <w:rPr>
          <w:rFonts w:cs="Times"/>
        </w:rPr>
        <w:t>.</w:t>
      </w:r>
    </w:p>
    <w:p w14:paraId="34A4C8F8" w14:textId="19E3BB4B" w:rsidR="00A1070D" w:rsidRDefault="003D62C2" w:rsidP="00D312ED">
      <w:pPr>
        <w:ind w:left="284" w:hangingChars="142" w:hanging="284"/>
        <w:rPr>
          <w:rFonts w:cs="Times"/>
        </w:rPr>
      </w:pPr>
      <w:r>
        <w:rPr>
          <w:rFonts w:cs="Times"/>
        </w:rPr>
        <w:t>–</w:t>
      </w:r>
      <w:r>
        <w:rPr>
          <w:rFonts w:cs="Times"/>
        </w:rPr>
        <w:tab/>
        <w:t>Analisi dei titoli azionari</w:t>
      </w:r>
      <w:r w:rsidR="00A1070D" w:rsidRPr="00765B7B">
        <w:rPr>
          <w:rFonts w:cs="Times"/>
        </w:rPr>
        <w:t xml:space="preserve"> </w:t>
      </w:r>
      <w:r w:rsidR="00CD21AD" w:rsidRPr="00765B7B">
        <w:rPr>
          <w:rFonts w:cs="Times"/>
        </w:rPr>
        <w:t xml:space="preserve">esposti a </w:t>
      </w:r>
      <w:r w:rsidR="00CD21AD" w:rsidRPr="00765B7B">
        <w:rPr>
          <w:rFonts w:cs="Times"/>
          <w:i/>
          <w:iCs/>
        </w:rPr>
        <w:t>cashflow risk</w:t>
      </w:r>
      <w:r w:rsidR="00CD21AD" w:rsidRPr="00765B7B">
        <w:rPr>
          <w:rFonts w:cs="Times"/>
        </w:rPr>
        <w:t xml:space="preserve"> e </w:t>
      </w:r>
      <w:r w:rsidR="00CD21AD" w:rsidRPr="00765B7B">
        <w:rPr>
          <w:rFonts w:cs="Times"/>
          <w:i/>
          <w:iCs/>
        </w:rPr>
        <w:t>interest rate risk</w:t>
      </w:r>
      <w:r>
        <w:rPr>
          <w:rFonts w:cs="Times"/>
        </w:rPr>
        <w:t xml:space="preserve"> ed interpretazione finanziaria dei premi per il rischio</w:t>
      </w:r>
    </w:p>
    <w:p w14:paraId="08FE6B81" w14:textId="0B5638B0" w:rsidR="003D62C2" w:rsidRPr="00765B7B" w:rsidRDefault="003D62C2" w:rsidP="00AD2A0A">
      <w:pPr>
        <w:ind w:left="284" w:hangingChars="142" w:hanging="284"/>
        <w:rPr>
          <w:rFonts w:cs="Times"/>
        </w:rPr>
      </w:pPr>
      <w:r>
        <w:rPr>
          <w:rFonts w:cs="Times"/>
        </w:rPr>
        <w:t>–</w:t>
      </w:r>
      <w:r>
        <w:rPr>
          <w:rFonts w:cs="Times"/>
        </w:rPr>
        <w:tab/>
      </w:r>
      <w:r w:rsidRPr="00765B7B">
        <w:rPr>
          <w:rFonts w:cs="Times"/>
        </w:rPr>
        <w:t xml:space="preserve">Valutazione di titoli derivati esposti a </w:t>
      </w:r>
      <w:r w:rsidRPr="00765B7B">
        <w:rPr>
          <w:rFonts w:cs="Times"/>
          <w:i/>
          <w:iCs/>
        </w:rPr>
        <w:t>cashflow risk</w:t>
      </w:r>
      <w:r w:rsidRPr="00765B7B">
        <w:rPr>
          <w:rFonts w:cs="Times"/>
        </w:rPr>
        <w:t xml:space="preserve"> e </w:t>
      </w:r>
      <w:r w:rsidRPr="00765B7B">
        <w:rPr>
          <w:rFonts w:cs="Times"/>
          <w:i/>
          <w:iCs/>
        </w:rPr>
        <w:t>interest rate risk</w:t>
      </w:r>
      <w:r>
        <w:rPr>
          <w:rFonts w:cs="Times"/>
        </w:rPr>
        <w:t xml:space="preserve"> ed interpretazione fina</w:t>
      </w:r>
      <w:r w:rsidR="00AD2A0A">
        <w:rPr>
          <w:rFonts w:cs="Times"/>
        </w:rPr>
        <w:t xml:space="preserve">nziaria delle formule di </w:t>
      </w:r>
      <w:r w:rsidR="00AD2A0A" w:rsidRPr="00AD2A0A">
        <w:rPr>
          <w:rFonts w:cs="Times"/>
          <w:i/>
        </w:rPr>
        <w:t>pricing</w:t>
      </w:r>
      <w:r w:rsidR="00AD2A0A">
        <w:rPr>
          <w:rFonts w:cs="Times"/>
        </w:rPr>
        <w:t>.</w:t>
      </w:r>
    </w:p>
    <w:p w14:paraId="17F63F78" w14:textId="5BDC8EC5" w:rsidR="00D312ED" w:rsidRPr="00765B7B" w:rsidRDefault="00D312ED" w:rsidP="00D312ED">
      <w:pPr>
        <w:keepNext/>
        <w:spacing w:before="240" w:after="120" w:line="240" w:lineRule="exact"/>
        <w:rPr>
          <w:b/>
          <w:sz w:val="18"/>
        </w:rPr>
      </w:pPr>
      <w:r w:rsidRPr="00765B7B">
        <w:rPr>
          <w:b/>
          <w:i/>
          <w:sz w:val="18"/>
        </w:rPr>
        <w:lastRenderedPageBreak/>
        <w:t>BIBLIOGRAFIA</w:t>
      </w:r>
      <w:r w:rsidR="003E3668">
        <w:rPr>
          <w:rStyle w:val="Rimandonotaapidipagina"/>
          <w:b/>
          <w:i/>
          <w:sz w:val="18"/>
        </w:rPr>
        <w:footnoteReference w:id="1"/>
      </w:r>
    </w:p>
    <w:p w14:paraId="5CEDB030" w14:textId="77777777" w:rsidR="00D312ED" w:rsidRPr="00B309AA" w:rsidRDefault="00D312ED" w:rsidP="00B309AA">
      <w:pPr>
        <w:pStyle w:val="Testo1"/>
        <w:spacing w:before="0"/>
      </w:pPr>
      <w:r w:rsidRPr="00B309AA">
        <w:t>Materiale scelto (lucidi, esercizi, etc.) sarà messo a disposizione nel sito Blackboard del corso.</w:t>
      </w:r>
    </w:p>
    <w:p w14:paraId="258D1A39" w14:textId="1B6F925F" w:rsidR="00D312ED" w:rsidRPr="0031218B" w:rsidRDefault="00D312ED" w:rsidP="00B309AA">
      <w:pPr>
        <w:pStyle w:val="Testo1"/>
        <w:spacing w:before="0"/>
        <w:rPr>
          <w:lang w:val="en-US"/>
        </w:rPr>
      </w:pPr>
      <w:r w:rsidRPr="0031218B">
        <w:rPr>
          <w:lang w:val="en-US"/>
        </w:rPr>
        <w:t>J.H. Cochrane, Asset Pricing, Princeton University Press, 200</w:t>
      </w:r>
      <w:r w:rsidR="006461E8" w:rsidRPr="0031218B">
        <w:rPr>
          <w:lang w:val="en-US"/>
        </w:rPr>
        <w:t>5</w:t>
      </w:r>
      <w:r w:rsidRPr="0031218B">
        <w:rPr>
          <w:lang w:val="en-US"/>
        </w:rPr>
        <w:t xml:space="preserve">. </w:t>
      </w:r>
      <w:r w:rsidR="003E3668">
        <w:rPr>
          <w:lang w:val="en-US"/>
        </w:rPr>
        <w:t xml:space="preserve"> </w:t>
      </w:r>
      <w:hyperlink r:id="rId7" w:history="1">
        <w:r w:rsidR="003E3668" w:rsidRPr="003E3668">
          <w:rPr>
            <w:rStyle w:val="Collegamentoipertestuale"/>
            <w:rFonts w:ascii="Times New Roman" w:hAnsi="Times New Roman"/>
            <w:i/>
            <w:szCs w:val="18"/>
          </w:rPr>
          <w:t>Acquista da VP</w:t>
        </w:r>
      </w:hyperlink>
    </w:p>
    <w:p w14:paraId="3133CF0E" w14:textId="77777777" w:rsidR="00D312ED" w:rsidRPr="0031218B" w:rsidRDefault="00D312ED" w:rsidP="00B309AA">
      <w:pPr>
        <w:pStyle w:val="Testo1"/>
        <w:spacing w:before="0"/>
        <w:rPr>
          <w:lang w:val="en-US"/>
        </w:rPr>
      </w:pPr>
      <w:r w:rsidRPr="0031218B">
        <w:rPr>
          <w:lang w:val="en-US"/>
        </w:rPr>
        <w:t>S.E. Shreve, Stochastic Calculus for Finance, Springer-Verlag, 2004.</w:t>
      </w:r>
    </w:p>
    <w:p w14:paraId="2B9B1777" w14:textId="77777777" w:rsidR="00D312ED" w:rsidRPr="00765B7B" w:rsidRDefault="00D312ED" w:rsidP="00D312ED">
      <w:pPr>
        <w:spacing w:before="240" w:after="120"/>
        <w:rPr>
          <w:b/>
          <w:i/>
          <w:sz w:val="18"/>
        </w:rPr>
      </w:pPr>
      <w:r w:rsidRPr="00765B7B">
        <w:rPr>
          <w:b/>
          <w:i/>
          <w:sz w:val="18"/>
        </w:rPr>
        <w:t>DIDATTICA DEL CORSO</w:t>
      </w:r>
    </w:p>
    <w:p w14:paraId="77DFFFBA" w14:textId="77777777" w:rsidR="00D312ED" w:rsidRPr="00765B7B" w:rsidRDefault="00D312ED" w:rsidP="00D312ED">
      <w:pPr>
        <w:pStyle w:val="Testo2"/>
        <w:rPr>
          <w:rFonts w:cs="Times"/>
          <w:color w:val="000000" w:themeColor="text1"/>
        </w:rPr>
      </w:pPr>
      <w:r w:rsidRPr="00765B7B">
        <w:rPr>
          <w:rFonts w:cs="Times"/>
          <w:color w:val="000000" w:themeColor="text1"/>
        </w:rPr>
        <w:t>Lezioni ed esercitazioni in aula.</w:t>
      </w:r>
    </w:p>
    <w:p w14:paraId="6762780E" w14:textId="77777777" w:rsidR="00D312ED" w:rsidRPr="00765B7B" w:rsidRDefault="00D312ED" w:rsidP="00D312ED">
      <w:pPr>
        <w:spacing w:before="240" w:after="120"/>
        <w:rPr>
          <w:b/>
          <w:i/>
          <w:sz w:val="18"/>
        </w:rPr>
      </w:pPr>
      <w:r w:rsidRPr="00765B7B">
        <w:rPr>
          <w:b/>
          <w:i/>
          <w:sz w:val="18"/>
        </w:rPr>
        <w:t>METODO E CRITERI DI VALUTAZIONE</w:t>
      </w:r>
    </w:p>
    <w:p w14:paraId="131E41F9" w14:textId="77777777" w:rsidR="00D312ED" w:rsidRPr="00765B7B" w:rsidRDefault="00DC3DB5" w:rsidP="00D312ED">
      <w:pPr>
        <w:pStyle w:val="Testo2"/>
      </w:pPr>
      <w:r w:rsidRPr="00765B7B">
        <w:t>Il voto finale è basato su una prova scritta al termine del corso, articolata in domande aperte e/o a scelta multipla di carattere sia teorico che applicativo. Il punteggio attribuito ad ogni domanda sarà indicato nel testo dell’esame. Il punteggio ottenuto nella prova scritta, arrotondato al numero intero più vicino (per eccesso qualora la parte decimale sia almeno pari a 0.5), costituirà la valutazione finale del corso. L’attribuzione della lode avverrà nel caso in cui lo studente abbia ottenuto un punteggio finale arrotondato almeno pari a 31 ed abbia dimostrato eccellente padronanza della materia. Un testo di simulazione rappresentativo del formato della prova d’esame è pubblicato su Blackboard.</w:t>
      </w:r>
    </w:p>
    <w:p w14:paraId="42466E94" w14:textId="77777777" w:rsidR="00D312ED" w:rsidRPr="00765B7B" w:rsidRDefault="00D312ED" w:rsidP="00D312ED">
      <w:pPr>
        <w:spacing w:before="240" w:after="120" w:line="240" w:lineRule="exact"/>
        <w:rPr>
          <w:b/>
          <w:i/>
          <w:sz w:val="18"/>
        </w:rPr>
      </w:pPr>
      <w:r w:rsidRPr="00765B7B">
        <w:rPr>
          <w:b/>
          <w:i/>
          <w:sz w:val="18"/>
        </w:rPr>
        <w:t>AVVERTENZE E PREREQUISITI</w:t>
      </w:r>
    </w:p>
    <w:p w14:paraId="230D0EB1" w14:textId="77777777" w:rsidR="00D312ED" w:rsidRPr="00765B7B" w:rsidRDefault="00D312ED" w:rsidP="00D312ED">
      <w:pPr>
        <w:rPr>
          <w:rFonts w:cs="Times"/>
          <w:sz w:val="18"/>
        </w:rPr>
      </w:pPr>
      <w:r w:rsidRPr="00765B7B">
        <w:rPr>
          <w:rFonts w:cs="Times"/>
          <w:sz w:val="18"/>
        </w:rPr>
        <w:t>Gli studenti che si accingono a frequentare il corso devono conoscere:</w:t>
      </w:r>
    </w:p>
    <w:p w14:paraId="46F9577E" w14:textId="77777777" w:rsidR="00D312ED" w:rsidRPr="00765B7B" w:rsidRDefault="00D312ED" w:rsidP="00D312ED">
      <w:pPr>
        <w:ind w:left="256" w:hangingChars="142" w:hanging="256"/>
        <w:rPr>
          <w:rFonts w:cs="Times"/>
          <w:sz w:val="18"/>
        </w:rPr>
      </w:pPr>
      <w:r w:rsidRPr="00765B7B">
        <w:rPr>
          <w:rFonts w:cs="Times"/>
          <w:sz w:val="18"/>
        </w:rPr>
        <w:t>–</w:t>
      </w:r>
      <w:r w:rsidRPr="00765B7B">
        <w:rPr>
          <w:rFonts w:cs="Times"/>
          <w:sz w:val="18"/>
        </w:rPr>
        <w:tab/>
        <w:t>Fondamenti di teoria macroeconomica (ad esempio, equilibrio del mercato monetario) e microeconomica (ad esempio, scelta del consumatore);</w:t>
      </w:r>
    </w:p>
    <w:p w14:paraId="669E69A4" w14:textId="77777777" w:rsidR="00D312ED" w:rsidRPr="00765B7B" w:rsidRDefault="00D312ED" w:rsidP="00D312ED">
      <w:pPr>
        <w:ind w:left="256" w:hangingChars="142" w:hanging="256"/>
        <w:rPr>
          <w:rFonts w:cs="Times"/>
          <w:sz w:val="18"/>
        </w:rPr>
      </w:pPr>
      <w:r w:rsidRPr="00765B7B">
        <w:rPr>
          <w:rFonts w:cs="Times"/>
          <w:sz w:val="18"/>
        </w:rPr>
        <w:t>–</w:t>
      </w:r>
      <w:r w:rsidRPr="00765B7B">
        <w:rPr>
          <w:rFonts w:cs="Times"/>
          <w:sz w:val="18"/>
        </w:rPr>
        <w:tab/>
        <w:t>Fondamenti di matematica finanziaria (ad esempio, regimi finanziari e valori attuali) e di teoria delle decisioni in condizioni di incertezza (ad esempio, utilità attesa);</w:t>
      </w:r>
    </w:p>
    <w:p w14:paraId="6647B5DB" w14:textId="77777777" w:rsidR="00D312ED" w:rsidRPr="00765B7B" w:rsidRDefault="00D312ED" w:rsidP="00D312ED">
      <w:pPr>
        <w:ind w:left="256" w:hangingChars="142" w:hanging="256"/>
        <w:rPr>
          <w:rFonts w:cs="Times"/>
          <w:sz w:val="18"/>
        </w:rPr>
      </w:pPr>
      <w:r w:rsidRPr="00765B7B">
        <w:rPr>
          <w:rFonts w:cs="Times"/>
          <w:sz w:val="18"/>
        </w:rPr>
        <w:t>–</w:t>
      </w:r>
      <w:r w:rsidRPr="00765B7B">
        <w:rPr>
          <w:rFonts w:cs="Times"/>
          <w:sz w:val="18"/>
        </w:rPr>
        <w:tab/>
        <w:t>Fondamenti di algebra lineare (ad esempio, calcolo matriciale e soluzione di sistemi di equazioni lineari);</w:t>
      </w:r>
    </w:p>
    <w:p w14:paraId="6818875F" w14:textId="77777777" w:rsidR="00D312ED" w:rsidRPr="00765B7B" w:rsidRDefault="00D312ED" w:rsidP="00D312ED">
      <w:pPr>
        <w:ind w:left="256" w:hangingChars="142" w:hanging="256"/>
        <w:rPr>
          <w:rFonts w:cs="Times"/>
          <w:sz w:val="18"/>
        </w:rPr>
      </w:pPr>
      <w:r w:rsidRPr="00765B7B">
        <w:rPr>
          <w:rFonts w:cs="Times"/>
          <w:sz w:val="18"/>
        </w:rPr>
        <w:t>–</w:t>
      </w:r>
      <w:r w:rsidRPr="00765B7B">
        <w:rPr>
          <w:rFonts w:cs="Times"/>
          <w:sz w:val="18"/>
        </w:rPr>
        <w:tab/>
        <w:t>Fondamenti di statistica univariata e multivariata (ad esempio, funzione di distribuzione marginale e congiunta, momenti centrali, covarianza, correlazione e momenti condizionati);</w:t>
      </w:r>
    </w:p>
    <w:p w14:paraId="0A27DF9A" w14:textId="1A54A865" w:rsidR="00D312ED" w:rsidRPr="00765B7B" w:rsidRDefault="00D312ED" w:rsidP="00D312ED">
      <w:pPr>
        <w:rPr>
          <w:rFonts w:cs="Times"/>
          <w:sz w:val="18"/>
        </w:rPr>
      </w:pPr>
      <w:r w:rsidRPr="00765B7B">
        <w:rPr>
          <w:rFonts w:cs="Times"/>
          <w:sz w:val="18"/>
        </w:rPr>
        <w:t>–</w:t>
      </w:r>
      <w:r w:rsidRPr="00765B7B">
        <w:rPr>
          <w:rFonts w:cs="Times"/>
          <w:sz w:val="18"/>
        </w:rPr>
        <w:tab/>
        <w:t>Fondamenti di econometria (ad esempio, tecniche di regressione lineare, metodi di stima basati sulla massima verosimiglianza).</w:t>
      </w:r>
    </w:p>
    <w:p w14:paraId="594AE918" w14:textId="4381B3EC" w:rsidR="0018606D" w:rsidRPr="00A75C81" w:rsidRDefault="00A75C81" w:rsidP="00A75C81">
      <w:pPr>
        <w:pStyle w:val="Testo2"/>
        <w:spacing w:before="120"/>
        <w:rPr>
          <w:i/>
          <w:iCs/>
        </w:rPr>
      </w:pPr>
      <w:r w:rsidRPr="00A75C81">
        <w:rPr>
          <w:i/>
          <w:iCs/>
        </w:rPr>
        <w:t>Orario e luogo di ricevimento</w:t>
      </w:r>
    </w:p>
    <w:p w14:paraId="0EB54DC2" w14:textId="77777777" w:rsidR="00D312ED" w:rsidRPr="007B7098" w:rsidRDefault="00D312ED" w:rsidP="00A75C81">
      <w:pPr>
        <w:pStyle w:val="Testo2"/>
        <w:rPr>
          <w:rFonts w:cs="Times"/>
          <w:color w:val="000000" w:themeColor="text1"/>
        </w:rPr>
      </w:pPr>
      <w:r w:rsidRPr="00765B7B">
        <w:rPr>
          <w:rFonts w:cs="Times"/>
          <w:color w:val="000000" w:themeColor="text1"/>
          <w:szCs w:val="18"/>
        </w:rPr>
        <w:t>Orario e luogo di ricevimento degli studenti sono pubblicati online sulla pagina personale dei docenti.</w:t>
      </w:r>
    </w:p>
    <w:sectPr w:rsidR="00D312ED" w:rsidRPr="007B709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DE26" w14:textId="77777777" w:rsidR="008E2854" w:rsidRDefault="008E2854" w:rsidP="00D312ED">
      <w:pPr>
        <w:spacing w:line="240" w:lineRule="auto"/>
      </w:pPr>
      <w:r>
        <w:separator/>
      </w:r>
    </w:p>
  </w:endnote>
  <w:endnote w:type="continuationSeparator" w:id="0">
    <w:p w14:paraId="0363183F" w14:textId="77777777" w:rsidR="008E2854" w:rsidRDefault="008E2854" w:rsidP="00D31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AD3" w14:textId="77777777" w:rsidR="008E2854" w:rsidRDefault="008E2854" w:rsidP="00D312ED">
      <w:pPr>
        <w:spacing w:line="240" w:lineRule="auto"/>
      </w:pPr>
      <w:r>
        <w:separator/>
      </w:r>
    </w:p>
  </w:footnote>
  <w:footnote w:type="continuationSeparator" w:id="0">
    <w:p w14:paraId="32EEB970" w14:textId="77777777" w:rsidR="008E2854" w:rsidRDefault="008E2854" w:rsidP="00D312ED">
      <w:pPr>
        <w:spacing w:line="240" w:lineRule="auto"/>
      </w:pPr>
      <w:r>
        <w:continuationSeparator/>
      </w:r>
    </w:p>
  </w:footnote>
  <w:footnote w:id="1">
    <w:p w14:paraId="375E0D88" w14:textId="1915656D" w:rsidR="003E3668" w:rsidRDefault="003E366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ED"/>
    <w:rsid w:val="000E10EC"/>
    <w:rsid w:val="000E5C3C"/>
    <w:rsid w:val="000E5FEF"/>
    <w:rsid w:val="001327FC"/>
    <w:rsid w:val="0018606D"/>
    <w:rsid w:val="002232B8"/>
    <w:rsid w:val="002F609D"/>
    <w:rsid w:val="0031218B"/>
    <w:rsid w:val="0033296A"/>
    <w:rsid w:val="003D62C2"/>
    <w:rsid w:val="003E3668"/>
    <w:rsid w:val="004438BF"/>
    <w:rsid w:val="00481E5E"/>
    <w:rsid w:val="004A58C2"/>
    <w:rsid w:val="004D76EC"/>
    <w:rsid w:val="00556E87"/>
    <w:rsid w:val="00574D0C"/>
    <w:rsid w:val="006461E8"/>
    <w:rsid w:val="00697155"/>
    <w:rsid w:val="007042BD"/>
    <w:rsid w:val="00727BA7"/>
    <w:rsid w:val="00753EAA"/>
    <w:rsid w:val="00765B7B"/>
    <w:rsid w:val="007A3138"/>
    <w:rsid w:val="008152D9"/>
    <w:rsid w:val="0086655B"/>
    <w:rsid w:val="008E2854"/>
    <w:rsid w:val="00A1070D"/>
    <w:rsid w:val="00A75C81"/>
    <w:rsid w:val="00AD2A0A"/>
    <w:rsid w:val="00B309AA"/>
    <w:rsid w:val="00C15916"/>
    <w:rsid w:val="00CC67BF"/>
    <w:rsid w:val="00CD21AD"/>
    <w:rsid w:val="00D312ED"/>
    <w:rsid w:val="00D71A86"/>
    <w:rsid w:val="00D805F5"/>
    <w:rsid w:val="00DC3DB5"/>
    <w:rsid w:val="00FB2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41B"/>
  <w15:docId w15:val="{819CAD80-E6C3-49DD-BFCE-598A6BB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2ED"/>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D312ED"/>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D312ED"/>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D312E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12E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D312ED"/>
    <w:rPr>
      <w:rFonts w:ascii="Times" w:eastAsia="Times New Roman" w:hAnsi="Times" w:cs="Times New Roman"/>
      <w:smallCaps/>
      <w:noProof/>
      <w:sz w:val="18"/>
      <w:szCs w:val="20"/>
      <w:lang w:eastAsia="it-IT"/>
    </w:rPr>
  </w:style>
  <w:style w:type="paragraph" w:customStyle="1" w:styleId="Testo1">
    <w:name w:val="Testo 1"/>
    <w:rsid w:val="00D312ED"/>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D312ED"/>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D312ED"/>
    <w:pPr>
      <w:spacing w:line="240" w:lineRule="auto"/>
    </w:pPr>
    <w:rPr>
      <w:szCs w:val="20"/>
    </w:rPr>
  </w:style>
  <w:style w:type="character" w:customStyle="1" w:styleId="TestonotaapidipaginaCarattere">
    <w:name w:val="Testo nota a piè di pagina Carattere"/>
    <w:basedOn w:val="Carpredefinitoparagrafo"/>
    <w:link w:val="Testonotaapidipagina"/>
    <w:rsid w:val="00D312E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D312ED"/>
    <w:rPr>
      <w:vertAlign w:val="superscript"/>
    </w:rPr>
  </w:style>
  <w:style w:type="character" w:styleId="Collegamentoipertestuale">
    <w:name w:val="Hyperlink"/>
    <w:basedOn w:val="Carpredefinitoparagrafo"/>
    <w:rsid w:val="00D312ED"/>
    <w:rPr>
      <w:color w:val="0000FF" w:themeColor="hyperlink"/>
      <w:u w:val="single"/>
    </w:rPr>
  </w:style>
  <w:style w:type="character" w:customStyle="1" w:styleId="Titolo3Carattere">
    <w:name w:val="Titolo 3 Carattere"/>
    <w:basedOn w:val="Carpredefinitoparagrafo"/>
    <w:link w:val="Titolo3"/>
    <w:uiPriority w:val="9"/>
    <w:semiHidden/>
    <w:rsid w:val="00D312ED"/>
    <w:rPr>
      <w:rFonts w:asciiTheme="majorHAnsi" w:eastAsiaTheme="majorEastAsia" w:hAnsiTheme="majorHAnsi" w:cstheme="majorBidi"/>
      <w:b/>
      <w:bCs/>
      <w:color w:val="4F81BD" w:themeColor="accent1"/>
      <w:sz w:val="20"/>
      <w:szCs w:val="24"/>
      <w:lang w:eastAsia="it-IT"/>
    </w:rPr>
  </w:style>
  <w:style w:type="character" w:styleId="Menzionenonrisolta">
    <w:name w:val="Unresolved Mention"/>
    <w:basedOn w:val="Carpredefinitoparagrafo"/>
    <w:uiPriority w:val="99"/>
    <w:semiHidden/>
    <w:unhideWhenUsed/>
    <w:rsid w:val="003E3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cochrane/asset-pricing-9780691121376-22231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C8CB-93D2-4A0D-ABA6-BF84DD7A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Universita Cattolica del Sacro Cuore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Sbuelz Alessandro</dc:creator>
  <cp:lastModifiedBy>Rolli Andrea</cp:lastModifiedBy>
  <cp:revision>5</cp:revision>
  <dcterms:created xsi:type="dcterms:W3CDTF">2023-04-26T13:55:00Z</dcterms:created>
  <dcterms:modified xsi:type="dcterms:W3CDTF">2023-06-26T09:05:00Z</dcterms:modified>
</cp:coreProperties>
</file>