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360D" w14:textId="77777777" w:rsidR="007E2DB4" w:rsidRPr="00B11F61" w:rsidRDefault="007E2DB4" w:rsidP="00DA3E84">
      <w:pPr>
        <w:pStyle w:val="Titolo1"/>
        <w:rPr>
          <w:color w:val="000000" w:themeColor="text1"/>
        </w:rPr>
      </w:pPr>
      <w:r w:rsidRPr="00B11F61">
        <w:rPr>
          <w:color w:val="000000" w:themeColor="text1"/>
        </w:rPr>
        <w:t xml:space="preserve">Metodi e </w:t>
      </w:r>
      <w:r w:rsidR="006C26F2" w:rsidRPr="00B11F61">
        <w:rPr>
          <w:color w:val="000000" w:themeColor="text1"/>
        </w:rPr>
        <w:t>t</w:t>
      </w:r>
      <w:r w:rsidRPr="00B11F61">
        <w:rPr>
          <w:color w:val="000000" w:themeColor="text1"/>
        </w:rPr>
        <w:t>ecniche per la gestione delle risorse umane</w:t>
      </w:r>
    </w:p>
    <w:p w14:paraId="61D94CF7" w14:textId="77777777" w:rsidR="007E2DB4" w:rsidRPr="00E03514" w:rsidRDefault="007E2DB4" w:rsidP="00DA3E84">
      <w:pPr>
        <w:pStyle w:val="Titolo2"/>
        <w:rPr>
          <w:color w:val="000000" w:themeColor="text1"/>
        </w:rPr>
      </w:pPr>
      <w:r w:rsidRPr="00E03514">
        <w:rPr>
          <w:color w:val="000000" w:themeColor="text1"/>
        </w:rPr>
        <w:t xml:space="preserve">Prof. Silvio Carlo </w:t>
      </w:r>
      <w:r w:rsidR="006C26F2" w:rsidRPr="00E03514">
        <w:rPr>
          <w:color w:val="000000" w:themeColor="text1"/>
        </w:rPr>
        <w:t>R</w:t>
      </w:r>
      <w:r w:rsidRPr="00E03514">
        <w:rPr>
          <w:color w:val="000000" w:themeColor="text1"/>
        </w:rPr>
        <w:t>ipamonti</w:t>
      </w:r>
    </w:p>
    <w:p w14:paraId="686A7B11" w14:textId="77777777" w:rsidR="002D5E17" w:rsidRPr="00E03514" w:rsidRDefault="007E2DB4" w:rsidP="00DA3E84">
      <w:pPr>
        <w:spacing w:before="240" w:after="120" w:line="240" w:lineRule="exact"/>
        <w:rPr>
          <w:b/>
          <w:color w:val="000000" w:themeColor="text1"/>
          <w:sz w:val="18"/>
          <w:szCs w:val="20"/>
        </w:rPr>
      </w:pPr>
      <w:r w:rsidRPr="00E03514">
        <w:rPr>
          <w:b/>
          <w:i/>
          <w:color w:val="000000" w:themeColor="text1"/>
          <w:sz w:val="18"/>
          <w:szCs w:val="20"/>
        </w:rPr>
        <w:t>OBIETTIVO DEL CORSO E RISULTATI DI APPRENDIMENTO ATTESI</w:t>
      </w:r>
    </w:p>
    <w:p w14:paraId="58002520" w14:textId="31975440" w:rsidR="00D24B5A" w:rsidRPr="00B11F61" w:rsidRDefault="000B24E0" w:rsidP="00DA3E84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L’insegnamento ha </w:t>
      </w:r>
      <w:r w:rsidR="000D526A">
        <w:rPr>
          <w:color w:val="000000" w:themeColor="text1"/>
          <w:szCs w:val="20"/>
        </w:rPr>
        <w:t>l’</w:t>
      </w:r>
      <w:r w:rsidRPr="00B11F61">
        <w:rPr>
          <w:color w:val="000000" w:themeColor="text1"/>
          <w:szCs w:val="20"/>
        </w:rPr>
        <w:t>obiettivo quello di fornire agli studenti le nozioni di base sulla gestione delle pers</w:t>
      </w:r>
      <w:r w:rsidR="000D526A">
        <w:rPr>
          <w:color w:val="000000" w:themeColor="text1"/>
          <w:szCs w:val="20"/>
        </w:rPr>
        <w:t>one nei contesti organizzativi, esplorando</w:t>
      </w:r>
      <w:r w:rsidR="00D24B5A" w:rsidRPr="00B11F61">
        <w:rPr>
          <w:color w:val="000000" w:themeColor="text1"/>
          <w:szCs w:val="20"/>
        </w:rPr>
        <w:t xml:space="preserve"> i principali approcci nella gestione delle risorse umane. Verranno analizzate le dimensioni </w:t>
      </w:r>
      <w:r w:rsidR="00C5183E">
        <w:rPr>
          <w:color w:val="000000" w:themeColor="text1"/>
          <w:szCs w:val="20"/>
        </w:rPr>
        <w:t xml:space="preserve">fondative </w:t>
      </w:r>
      <w:r w:rsidR="00D24B5A" w:rsidRPr="00B11F61">
        <w:rPr>
          <w:color w:val="000000" w:themeColor="text1"/>
          <w:szCs w:val="20"/>
        </w:rPr>
        <w:t xml:space="preserve">dell’HRM (dall’analisi del fabbisogno, al recruiting e selezione, alla formazione sviluppo, fino alla valutazione delle performances e al rewarding). </w:t>
      </w:r>
      <w:r w:rsidR="00C5183E">
        <w:rPr>
          <w:color w:val="000000" w:themeColor="text1"/>
          <w:szCs w:val="20"/>
        </w:rPr>
        <w:t xml:space="preserve"> </w:t>
      </w:r>
    </w:p>
    <w:p w14:paraId="189D1053" w14:textId="77777777" w:rsidR="00991187" w:rsidRPr="00B11F61" w:rsidRDefault="00991187" w:rsidP="00DA3E84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Il corso, </w:t>
      </w:r>
      <w:r>
        <w:rPr>
          <w:color w:val="000000" w:themeColor="text1"/>
          <w:szCs w:val="20"/>
        </w:rPr>
        <w:t xml:space="preserve">includendo </w:t>
      </w:r>
      <w:r w:rsidRPr="00B11F61">
        <w:rPr>
          <w:color w:val="000000" w:themeColor="text1"/>
          <w:szCs w:val="20"/>
        </w:rPr>
        <w:t xml:space="preserve">una prospettiva di </w:t>
      </w:r>
      <w:r w:rsidRPr="00991187">
        <w:rPr>
          <w:i/>
          <w:color w:val="000000" w:themeColor="text1"/>
        </w:rPr>
        <w:t>Critical Management Studies</w:t>
      </w:r>
      <w:r w:rsidRPr="00B11F61">
        <w:rPr>
          <w:color w:val="000000" w:themeColor="text1"/>
          <w:szCs w:val="20"/>
        </w:rPr>
        <w:t xml:space="preserve">, approfondisce il ruolo dell’HR manager nella sua composita articolazione di esperto funzionale, partner strategico e referente dei processi di cambiamento organizzativo. </w:t>
      </w:r>
    </w:p>
    <w:p w14:paraId="65FC2045" w14:textId="77777777" w:rsidR="00B17052" w:rsidRDefault="00E03514" w:rsidP="00DA3E84">
      <w:pPr>
        <w:spacing w:before="120" w:line="240" w:lineRule="exact"/>
        <w:rPr>
          <w:rFonts w:eastAsia="MS Mincho"/>
          <w:i/>
          <w:color w:val="000000" w:themeColor="text1"/>
          <w:szCs w:val="20"/>
        </w:rPr>
      </w:pPr>
      <w:r w:rsidRPr="00E03514">
        <w:rPr>
          <w:rFonts w:eastAsia="MS Mincho"/>
          <w:i/>
          <w:color w:val="000000" w:themeColor="text1"/>
          <w:szCs w:val="20"/>
        </w:rPr>
        <w:t>Risultati di apprendimento attesi</w:t>
      </w:r>
    </w:p>
    <w:p w14:paraId="146EF34D" w14:textId="77777777" w:rsidR="00991187" w:rsidRDefault="00991187" w:rsidP="00DA3E84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Conoscenza e comprensione</w:t>
      </w:r>
    </w:p>
    <w:p w14:paraId="7F788A97" w14:textId="119671BB" w:rsidR="00D24B5A" w:rsidRDefault="00D24B5A" w:rsidP="00DA3E84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Scopo del corso è quello di acquisire conoscenze e capacità di comprensione dei principali riferimenti teorici e metodologici connessi ai processi di sviluppo delle risorse umane. </w:t>
      </w:r>
      <w:r w:rsidR="0046617C" w:rsidRPr="00B11F61">
        <w:rPr>
          <w:color w:val="000000" w:themeColor="text1"/>
          <w:szCs w:val="20"/>
        </w:rPr>
        <w:t>Inoltre,</w:t>
      </w:r>
      <w:r w:rsidRPr="00B11F61">
        <w:rPr>
          <w:color w:val="000000" w:themeColor="text1"/>
          <w:szCs w:val="20"/>
        </w:rPr>
        <w:t xml:space="preserve"> si proporranno esercitazioni e contributi per </w:t>
      </w:r>
      <w:r w:rsidR="000F4B5E">
        <w:rPr>
          <w:color w:val="000000" w:themeColor="text1"/>
          <w:szCs w:val="20"/>
        </w:rPr>
        <w:t>accrescere</w:t>
      </w:r>
      <w:r w:rsidRPr="00B11F61">
        <w:rPr>
          <w:color w:val="000000" w:themeColor="text1"/>
          <w:szCs w:val="20"/>
        </w:rPr>
        <w:t xml:space="preserve"> la capacità di uso critico dei principali dispositivi HR. Il gruppo di studio verrà proposto come specifico setting formativo e sarà finalizzato a rielaborare i contenuti presentati e stimolare la riflessione sulla pratica professionale.</w:t>
      </w:r>
    </w:p>
    <w:p w14:paraId="4E69B6D8" w14:textId="77777777" w:rsidR="00991187" w:rsidRPr="00B11F61" w:rsidRDefault="00991187" w:rsidP="00DA3E84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Capacità di applicare conoscenza e comprensione</w:t>
      </w:r>
    </w:p>
    <w:p w14:paraId="48985D33" w14:textId="77777777" w:rsidR="00CB4BB3" w:rsidRPr="00B11F61" w:rsidRDefault="00D24B5A" w:rsidP="00DA3E84">
      <w:p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Al termine del corso gli studenti</w:t>
      </w:r>
      <w:r w:rsidR="00CB4BB3" w:rsidRPr="00B11F61">
        <w:rPr>
          <w:color w:val="000000" w:themeColor="text1"/>
          <w:szCs w:val="20"/>
        </w:rPr>
        <w:t xml:space="preserve"> saranno in grado di: </w:t>
      </w:r>
    </w:p>
    <w:p w14:paraId="183C5A7A" w14:textId="77777777" w:rsidR="00CB4BB3" w:rsidRPr="00B11F61" w:rsidRDefault="00353993" w:rsidP="00DA3E84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conoscere</w:t>
      </w:r>
      <w:r w:rsidR="00CB4BB3" w:rsidRPr="00B11F61">
        <w:rPr>
          <w:color w:val="000000" w:themeColor="text1"/>
          <w:szCs w:val="20"/>
        </w:rPr>
        <w:t xml:space="preserve"> i metodi principali per la gestione dei processi HR declinati nelle diverse culture organizzative</w:t>
      </w:r>
      <w:r w:rsidR="00CE428D" w:rsidRPr="00B11F61">
        <w:rPr>
          <w:color w:val="000000" w:themeColor="text1"/>
          <w:szCs w:val="20"/>
        </w:rPr>
        <w:t>;</w:t>
      </w:r>
    </w:p>
    <w:p w14:paraId="5E67B1D7" w14:textId="77777777" w:rsidR="00CB4BB3" w:rsidRPr="00B11F61" w:rsidRDefault="00D24B5A" w:rsidP="00DA3E84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analizzare ed elaborare criticamente alcune pratiche HR in uso nei contesti organizzativi</w:t>
      </w:r>
      <w:r w:rsidR="00353993" w:rsidRPr="00B11F61">
        <w:rPr>
          <w:color w:val="000000" w:themeColor="text1"/>
          <w:szCs w:val="20"/>
        </w:rPr>
        <w:t>;</w:t>
      </w:r>
    </w:p>
    <w:p w14:paraId="4B1E75CC" w14:textId="77777777" w:rsidR="00CB4BB3" w:rsidRPr="00B11F61" w:rsidRDefault="00D24B5A" w:rsidP="00DA3E84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eseguire la progettazione di massima di un sistema di gestione delle risorse umane</w:t>
      </w:r>
      <w:r w:rsidR="00353993" w:rsidRPr="00B11F61">
        <w:rPr>
          <w:color w:val="000000" w:themeColor="text1"/>
          <w:szCs w:val="20"/>
        </w:rPr>
        <w:t>;</w:t>
      </w:r>
    </w:p>
    <w:p w14:paraId="6A99F424" w14:textId="77777777" w:rsidR="00455740" w:rsidRPr="00B11F61" w:rsidRDefault="00D24B5A" w:rsidP="00DA3E84">
      <w:pPr>
        <w:pStyle w:val="Paragrafoelenco"/>
        <w:numPr>
          <w:ilvl w:val="0"/>
          <w:numId w:val="1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scegliere quali strumenti HR utilizzare in funzione delle diverse fasi </w:t>
      </w:r>
      <w:r w:rsidR="009A3B41" w:rsidRPr="00B11F61">
        <w:rPr>
          <w:color w:val="000000" w:themeColor="text1"/>
          <w:szCs w:val="20"/>
        </w:rPr>
        <w:t>di</w:t>
      </w:r>
      <w:r w:rsidRPr="00B11F61">
        <w:rPr>
          <w:color w:val="000000" w:themeColor="text1"/>
          <w:szCs w:val="20"/>
        </w:rPr>
        <w:t xml:space="preserve"> sviluppo</w:t>
      </w:r>
      <w:r w:rsidR="00991187">
        <w:rPr>
          <w:color w:val="000000" w:themeColor="text1"/>
          <w:szCs w:val="20"/>
        </w:rPr>
        <w:t xml:space="preserve"> delle persone all’interno delle </w:t>
      </w:r>
      <w:r w:rsidRPr="00B11F61">
        <w:rPr>
          <w:color w:val="000000" w:themeColor="text1"/>
          <w:szCs w:val="20"/>
        </w:rPr>
        <w:t>organizzazioni, dalla selezione, alla formazione, allo sviluppo, per ottimizzare il rapporto individuo-organizzazione</w:t>
      </w:r>
      <w:r w:rsidR="00991187">
        <w:rPr>
          <w:color w:val="000000" w:themeColor="text1"/>
          <w:szCs w:val="20"/>
        </w:rPr>
        <w:t>.</w:t>
      </w:r>
    </w:p>
    <w:p w14:paraId="0F53B42C" w14:textId="2A6367D1" w:rsidR="00CB4BB3" w:rsidRDefault="00CB4BB3" w:rsidP="00DA3E84">
      <w:pPr>
        <w:spacing w:before="120"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Il corso si articol</w:t>
      </w:r>
      <w:r w:rsidR="00991187">
        <w:rPr>
          <w:color w:val="000000" w:themeColor="text1"/>
          <w:szCs w:val="20"/>
        </w:rPr>
        <w:t>a</w:t>
      </w:r>
      <w:r w:rsidRPr="00B11F61">
        <w:rPr>
          <w:color w:val="000000" w:themeColor="text1"/>
          <w:szCs w:val="20"/>
        </w:rPr>
        <w:t xml:space="preserve"> in due moduli da 30 ore ciascuno </w:t>
      </w:r>
      <w:r w:rsidR="00230EE7" w:rsidRPr="00B11F61">
        <w:rPr>
          <w:color w:val="000000" w:themeColor="text1"/>
          <w:szCs w:val="20"/>
        </w:rPr>
        <w:t>così</w:t>
      </w:r>
      <w:r w:rsidRPr="00B11F61">
        <w:rPr>
          <w:color w:val="000000" w:themeColor="text1"/>
          <w:szCs w:val="20"/>
        </w:rPr>
        <w:t xml:space="preserve"> </w:t>
      </w:r>
      <w:r w:rsidR="00CE428D" w:rsidRPr="00B11F61">
        <w:rPr>
          <w:color w:val="000000" w:themeColor="text1"/>
          <w:szCs w:val="20"/>
        </w:rPr>
        <w:t>organizzati:</w:t>
      </w:r>
    </w:p>
    <w:p w14:paraId="72854981" w14:textId="77777777" w:rsidR="00022270" w:rsidRPr="00B11F61" w:rsidRDefault="00022270" w:rsidP="00DA3E84">
      <w:pPr>
        <w:spacing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 xml:space="preserve">MODULO 1: </w:t>
      </w:r>
      <w:r w:rsidR="00C410D5" w:rsidRPr="00B11F61">
        <w:rPr>
          <w:smallCaps/>
          <w:color w:val="000000" w:themeColor="text1"/>
          <w:szCs w:val="20"/>
        </w:rPr>
        <w:t>Fondamenti di gestione HR</w:t>
      </w:r>
    </w:p>
    <w:p w14:paraId="0B67AAF5" w14:textId="77777777" w:rsidR="00022270" w:rsidRPr="00B11F61" w:rsidRDefault="00022270" w:rsidP="00DA3E84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1</w:t>
      </w:r>
      <w:r w:rsidR="00C410D5" w:rsidRPr="00B11F61">
        <w:rPr>
          <w:smallCaps/>
          <w:color w:val="000000" w:themeColor="text1"/>
          <w:szCs w:val="20"/>
        </w:rPr>
        <w:t>: Evoluzione nella gestione delle persone nelle organizzazioni</w:t>
      </w:r>
    </w:p>
    <w:p w14:paraId="231632C7" w14:textId="77777777" w:rsidR="00C410D5" w:rsidRPr="00B11F61" w:rsidRDefault="00C410D5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Concezioni e riferimenti nella gestione delle persone </w:t>
      </w:r>
    </w:p>
    <w:p w14:paraId="25A6B17E" w14:textId="77777777" w:rsidR="00C410D5" w:rsidRPr="00B11F61" w:rsidRDefault="00C410D5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L’evoluzione storica della gestione delle persone</w:t>
      </w:r>
    </w:p>
    <w:p w14:paraId="5AC78309" w14:textId="77777777" w:rsidR="00C410D5" w:rsidRPr="00B11F61" w:rsidRDefault="00C410D5" w:rsidP="00DA3E84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lastRenderedPageBreak/>
        <w:t>Unità 2: Strategia, Organizzazione e persone</w:t>
      </w:r>
    </w:p>
    <w:p w14:paraId="32FAC71D" w14:textId="77777777" w:rsidR="00C410D5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La gestione strategica delle persone nelle organizzazioni</w:t>
      </w:r>
    </w:p>
    <w:p w14:paraId="59B56B04" w14:textId="77777777" w:rsidR="005B49FC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Governare le persone in un mondo ad alta flessibilità </w:t>
      </w:r>
    </w:p>
    <w:p w14:paraId="2420860A" w14:textId="77777777" w:rsidR="00C410D5" w:rsidRPr="00B11F61" w:rsidRDefault="00C410D5" w:rsidP="00DA3E84">
      <w:pPr>
        <w:spacing w:before="120" w:line="240" w:lineRule="exact"/>
        <w:ind w:left="284" w:hanging="284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 xml:space="preserve">MODULO 2: Lo sviluppo delle persone nelle organizzazioni </w:t>
      </w:r>
    </w:p>
    <w:p w14:paraId="67032CAB" w14:textId="77777777" w:rsidR="00C410D5" w:rsidRPr="00B11F61" w:rsidRDefault="00C410D5" w:rsidP="00DA3E84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3:</w:t>
      </w:r>
      <w:r w:rsidR="005B49FC" w:rsidRPr="00B11F61">
        <w:rPr>
          <w:smallCaps/>
          <w:color w:val="000000" w:themeColor="text1"/>
          <w:szCs w:val="20"/>
        </w:rPr>
        <w:t xml:space="preserve"> Dall’ingresso allo sviluppo </w:t>
      </w:r>
      <w:r w:rsidRPr="00B11F61">
        <w:rPr>
          <w:smallCaps/>
          <w:color w:val="000000" w:themeColor="text1"/>
          <w:szCs w:val="20"/>
        </w:rPr>
        <w:t xml:space="preserve"> </w:t>
      </w:r>
      <w:r w:rsidR="005B49FC" w:rsidRPr="00B11F61">
        <w:rPr>
          <w:smallCaps/>
          <w:color w:val="000000" w:themeColor="text1"/>
          <w:szCs w:val="20"/>
        </w:rPr>
        <w:t xml:space="preserve"> </w:t>
      </w:r>
    </w:p>
    <w:p w14:paraId="7FD57ECC" w14:textId="77777777" w:rsidR="009D3761" w:rsidRPr="00B11F61" w:rsidRDefault="009D3761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Il processo di selezione </w:t>
      </w:r>
    </w:p>
    <w:p w14:paraId="3C6E60C7" w14:textId="77777777" w:rsidR="005B49FC" w:rsidRPr="00B11F61" w:rsidRDefault="009D3761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La fase di induction </w:t>
      </w:r>
    </w:p>
    <w:p w14:paraId="7183981E" w14:textId="77777777" w:rsidR="005B49FC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Lo sviluppo delle persone </w:t>
      </w:r>
    </w:p>
    <w:p w14:paraId="606FB154" w14:textId="77777777" w:rsidR="005B49FC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La valutazione e gli strumenti di misurazione della prestazione </w:t>
      </w:r>
    </w:p>
    <w:p w14:paraId="7AF76872" w14:textId="77777777" w:rsidR="005B49FC" w:rsidRPr="00B11F61" w:rsidRDefault="005B49FC" w:rsidP="00DA3E84">
      <w:pPr>
        <w:spacing w:line="240" w:lineRule="exact"/>
        <w:rPr>
          <w:smallCaps/>
          <w:color w:val="000000" w:themeColor="text1"/>
          <w:szCs w:val="20"/>
        </w:rPr>
      </w:pPr>
      <w:r w:rsidRPr="00B11F61">
        <w:rPr>
          <w:smallCaps/>
          <w:color w:val="000000" w:themeColor="text1"/>
          <w:szCs w:val="20"/>
        </w:rPr>
        <w:t>Unità 4: Temi emergenti nella gestione HR</w:t>
      </w:r>
    </w:p>
    <w:p w14:paraId="006ED348" w14:textId="77777777" w:rsidR="005B49FC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>Il diversity ed inclusion management</w:t>
      </w:r>
    </w:p>
    <w:p w14:paraId="36AC19FE" w14:textId="77777777" w:rsidR="00A263EF" w:rsidRPr="00B11F61" w:rsidRDefault="005B49FC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L’impatto delle nuove tecnologie sulla gestione delle persone </w:t>
      </w:r>
    </w:p>
    <w:p w14:paraId="036DFEE5" w14:textId="77777777" w:rsidR="00A263EF" w:rsidRPr="00B11F61" w:rsidRDefault="00A263EF" w:rsidP="00DA3E84">
      <w:pPr>
        <w:pStyle w:val="Paragrafoelenco"/>
        <w:numPr>
          <w:ilvl w:val="0"/>
          <w:numId w:val="2"/>
        </w:numPr>
        <w:spacing w:line="240" w:lineRule="exact"/>
        <w:rPr>
          <w:color w:val="000000" w:themeColor="text1"/>
          <w:szCs w:val="20"/>
        </w:rPr>
      </w:pPr>
      <w:r w:rsidRPr="00B11F61">
        <w:rPr>
          <w:color w:val="000000" w:themeColor="text1"/>
          <w:szCs w:val="20"/>
        </w:rPr>
        <w:t xml:space="preserve">L’approccio del Critical Management Studies </w:t>
      </w:r>
    </w:p>
    <w:p w14:paraId="206DAF01" w14:textId="546BB22D" w:rsidR="008D179F" w:rsidRPr="008D179F" w:rsidRDefault="007E2DB4" w:rsidP="00DA3E84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E03514">
        <w:rPr>
          <w:b/>
          <w:i/>
          <w:color w:val="000000" w:themeColor="text1"/>
          <w:sz w:val="18"/>
          <w:szCs w:val="18"/>
        </w:rPr>
        <w:t>BIBLIOGRAFIA</w:t>
      </w:r>
      <w:r w:rsidR="009B611F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2621CAEC" w14:textId="3479646B" w:rsidR="008D179F" w:rsidRPr="008D179F" w:rsidRDefault="008D179F" w:rsidP="00DA3E84">
      <w:pPr>
        <w:pStyle w:val="Testo1"/>
        <w:numPr>
          <w:ilvl w:val="0"/>
          <w:numId w:val="3"/>
        </w:numPr>
        <w:spacing w:line="240" w:lineRule="exact"/>
        <w:rPr>
          <w:iCs/>
          <w:color w:val="000000" w:themeColor="text1"/>
          <w:szCs w:val="18"/>
        </w:rPr>
      </w:pPr>
      <w:r w:rsidRPr="008D179F">
        <w:rPr>
          <w:color w:val="000000" w:themeColor="text1"/>
          <w:szCs w:val="18"/>
        </w:rPr>
        <w:t>D</w:t>
      </w:r>
      <w:r w:rsidRPr="008D179F">
        <w:rPr>
          <w:smallCaps/>
          <w:color w:val="000000" w:themeColor="text1"/>
          <w:sz w:val="16"/>
        </w:rPr>
        <w:t>. Boldizzoni</w:t>
      </w:r>
      <w:r>
        <w:rPr>
          <w:smallCaps/>
          <w:color w:val="000000" w:themeColor="text1"/>
          <w:sz w:val="16"/>
        </w:rPr>
        <w:t>-</w:t>
      </w:r>
      <w:r w:rsidRPr="008D179F">
        <w:rPr>
          <w:smallCaps/>
          <w:color w:val="000000" w:themeColor="text1"/>
          <w:sz w:val="16"/>
        </w:rPr>
        <w:t>L. Quaratino</w:t>
      </w:r>
      <w:r>
        <w:rPr>
          <w:smallCaps/>
          <w:color w:val="000000" w:themeColor="text1"/>
          <w:sz w:val="16"/>
        </w:rPr>
        <w:t xml:space="preserve"> (2022)</w:t>
      </w:r>
      <w:r w:rsidRPr="008D179F">
        <w:rPr>
          <w:smallCaps/>
          <w:color w:val="000000" w:themeColor="text1"/>
          <w:sz w:val="16"/>
        </w:rPr>
        <w:t>,</w:t>
      </w:r>
      <w:r w:rsidRPr="008D179F">
        <w:rPr>
          <w:color w:val="000000" w:themeColor="text1"/>
          <w:szCs w:val="18"/>
        </w:rPr>
        <w:t xml:space="preserve"> </w:t>
      </w:r>
      <w:r w:rsidRPr="008D179F">
        <w:rPr>
          <w:i/>
          <w:color w:val="000000" w:themeColor="text1"/>
          <w:szCs w:val="18"/>
        </w:rPr>
        <w:t>Risorse Umane, La Sfida della sostenibilità.</w:t>
      </w:r>
      <w:r w:rsidRPr="008D179F">
        <w:rPr>
          <w:iCs/>
          <w:color w:val="000000" w:themeColor="text1"/>
          <w:szCs w:val="18"/>
        </w:rPr>
        <w:t xml:space="preserve"> Seconda Edizione</w:t>
      </w:r>
      <w:r>
        <w:rPr>
          <w:iCs/>
          <w:color w:val="000000" w:themeColor="text1"/>
          <w:szCs w:val="18"/>
        </w:rPr>
        <w:t>,</w:t>
      </w:r>
      <w:r w:rsidRPr="008D179F">
        <w:rPr>
          <w:iCs/>
          <w:color w:val="000000" w:themeColor="text1"/>
          <w:szCs w:val="18"/>
        </w:rPr>
        <w:t xml:space="preserve"> Il Mulino</w:t>
      </w:r>
      <w:r>
        <w:rPr>
          <w:iCs/>
          <w:color w:val="000000" w:themeColor="text1"/>
          <w:szCs w:val="18"/>
        </w:rPr>
        <w:t xml:space="preserve">, Bologna. </w:t>
      </w:r>
      <w:hyperlink r:id="rId8" w:history="1">
        <w:r w:rsidRPr="008D179F">
          <w:rPr>
            <w:rStyle w:val="Collegamentoipertestuale"/>
            <w:i/>
            <w:szCs w:val="18"/>
          </w:rPr>
          <w:t>Acquista da VP</w:t>
        </w:r>
      </w:hyperlink>
    </w:p>
    <w:p w14:paraId="797293CD" w14:textId="1BB2A7B5" w:rsidR="008D179F" w:rsidRPr="008D179F" w:rsidRDefault="008D179F" w:rsidP="00DA3E84">
      <w:pPr>
        <w:pStyle w:val="Testo1"/>
        <w:numPr>
          <w:ilvl w:val="0"/>
          <w:numId w:val="3"/>
        </w:numPr>
        <w:spacing w:line="240" w:lineRule="exact"/>
        <w:rPr>
          <w:color w:val="000000" w:themeColor="text1"/>
          <w:szCs w:val="18"/>
        </w:rPr>
      </w:pPr>
      <w:r w:rsidRPr="008D179F">
        <w:rPr>
          <w:color w:val="000000" w:themeColor="text1"/>
          <w:szCs w:val="18"/>
        </w:rPr>
        <w:t>B</w:t>
      </w:r>
      <w:r w:rsidRPr="008D179F">
        <w:rPr>
          <w:smallCaps/>
          <w:color w:val="000000" w:themeColor="text1"/>
          <w:sz w:val="16"/>
        </w:rPr>
        <w:t>.  Vidaillett</w:t>
      </w:r>
      <w:r>
        <w:rPr>
          <w:smallCaps/>
          <w:color w:val="000000" w:themeColor="text1"/>
          <w:sz w:val="16"/>
        </w:rPr>
        <w:t xml:space="preserve"> (2018)</w:t>
      </w:r>
      <w:r w:rsidRPr="008D179F">
        <w:rPr>
          <w:color w:val="000000" w:themeColor="text1"/>
          <w:szCs w:val="18"/>
        </w:rPr>
        <w:t xml:space="preserve">, </w:t>
      </w:r>
      <w:r w:rsidRPr="008D179F">
        <w:rPr>
          <w:i/>
          <w:iCs/>
          <w:color w:val="000000" w:themeColor="text1"/>
          <w:szCs w:val="18"/>
        </w:rPr>
        <w:t>Valutatemi! Il fascino discreto della meritocrazia</w:t>
      </w:r>
      <w:r w:rsidRPr="008D179F">
        <w:rPr>
          <w:color w:val="000000" w:themeColor="text1"/>
          <w:szCs w:val="18"/>
        </w:rPr>
        <w:t>, Novalogos</w:t>
      </w:r>
      <w:r>
        <w:rPr>
          <w:color w:val="000000" w:themeColor="text1"/>
          <w:szCs w:val="18"/>
        </w:rPr>
        <w:t xml:space="preserve">, Roma. </w:t>
      </w:r>
      <w:hyperlink r:id="rId9" w:history="1">
        <w:r w:rsidRPr="008D179F">
          <w:rPr>
            <w:rStyle w:val="Collegamentoipertestuale"/>
            <w:i/>
            <w:szCs w:val="18"/>
          </w:rPr>
          <w:t>Acquista da VP</w:t>
        </w:r>
      </w:hyperlink>
    </w:p>
    <w:p w14:paraId="3B9D1808" w14:textId="3F9713DC" w:rsidR="008D179F" w:rsidRPr="008D179F" w:rsidRDefault="008D179F" w:rsidP="00DA3E84">
      <w:pPr>
        <w:pStyle w:val="Testo1"/>
        <w:numPr>
          <w:ilvl w:val="0"/>
          <w:numId w:val="3"/>
        </w:numPr>
        <w:spacing w:line="240" w:lineRule="exact"/>
        <w:rPr>
          <w:color w:val="000000" w:themeColor="text1"/>
          <w:szCs w:val="18"/>
        </w:rPr>
      </w:pPr>
      <w:r w:rsidRPr="008D179F">
        <w:rPr>
          <w:color w:val="000000" w:themeColor="text1"/>
          <w:szCs w:val="18"/>
        </w:rPr>
        <w:t>A</w:t>
      </w:r>
      <w:r w:rsidRPr="008D179F">
        <w:rPr>
          <w:smallCaps/>
          <w:color w:val="000000" w:themeColor="text1"/>
          <w:sz w:val="16"/>
        </w:rPr>
        <w:t>. Cunliffe</w:t>
      </w:r>
      <w:r>
        <w:rPr>
          <w:color w:val="000000" w:themeColor="text1"/>
          <w:szCs w:val="18"/>
        </w:rPr>
        <w:t xml:space="preserve"> (2017)</w:t>
      </w:r>
      <w:r w:rsidRPr="008D179F">
        <w:rPr>
          <w:color w:val="000000" w:themeColor="text1"/>
          <w:szCs w:val="18"/>
        </w:rPr>
        <w:t>,</w:t>
      </w:r>
      <w:r w:rsidRPr="008D179F">
        <w:rPr>
          <w:i/>
          <w:color w:val="000000" w:themeColor="text1"/>
          <w:szCs w:val="18"/>
        </w:rPr>
        <w:t xml:space="preserve"> Il management,</w:t>
      </w:r>
      <w:r w:rsidRPr="008D179F">
        <w:rPr>
          <w:color w:val="000000" w:themeColor="text1"/>
          <w:szCs w:val="18"/>
        </w:rPr>
        <w:t xml:space="preserve"> Cortina Editore</w:t>
      </w:r>
      <w:r>
        <w:rPr>
          <w:color w:val="000000" w:themeColor="text1"/>
          <w:szCs w:val="18"/>
        </w:rPr>
        <w:t>.</w:t>
      </w:r>
      <w:r w:rsidRPr="008D179F">
        <w:rPr>
          <w:color w:val="000000" w:themeColor="text1"/>
          <w:szCs w:val="18"/>
        </w:rPr>
        <w:t xml:space="preserve"> </w:t>
      </w:r>
      <w:hyperlink r:id="rId10" w:history="1">
        <w:r w:rsidRPr="008D179F">
          <w:rPr>
            <w:rStyle w:val="Collegamentoipertestuale"/>
            <w:i/>
            <w:szCs w:val="18"/>
          </w:rPr>
          <w:t>Acquista da VP</w:t>
        </w:r>
      </w:hyperlink>
    </w:p>
    <w:p w14:paraId="5AC93E4C" w14:textId="0C8FEC4F" w:rsidR="007E2DB4" w:rsidRPr="00E03514" w:rsidRDefault="007E2DB4" w:rsidP="00DA3E84">
      <w:pPr>
        <w:pStyle w:val="Testo1"/>
        <w:spacing w:line="240" w:lineRule="exact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Ulteriori e mirate indicazioni bibliografiche verranno fornite dal docente all’interno del corso.</w:t>
      </w:r>
    </w:p>
    <w:p w14:paraId="7567DEA5" w14:textId="77777777" w:rsidR="007E2DB4" w:rsidRPr="00991187" w:rsidRDefault="007E2DB4" w:rsidP="00DA3E84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991187">
        <w:rPr>
          <w:b/>
          <w:i/>
          <w:color w:val="000000" w:themeColor="text1"/>
          <w:sz w:val="18"/>
          <w:szCs w:val="18"/>
        </w:rPr>
        <w:t>DIDATTICA DEL CORSO</w:t>
      </w:r>
    </w:p>
    <w:p w14:paraId="2CD55581" w14:textId="77777777" w:rsidR="00991187" w:rsidRPr="00991187" w:rsidRDefault="00991187" w:rsidP="00DA3E84">
      <w:pPr>
        <w:pStyle w:val="Testo2"/>
        <w:spacing w:line="240" w:lineRule="exact"/>
        <w:rPr>
          <w:color w:val="000000" w:themeColor="text1"/>
          <w:szCs w:val="18"/>
        </w:rPr>
      </w:pPr>
      <w:r w:rsidRPr="00991187">
        <w:rPr>
          <w:color w:val="000000" w:themeColor="text1"/>
          <w:szCs w:val="18"/>
        </w:rPr>
        <w:t>Il lavoro didattico prevede l’articolazione e l’integrazione tra momenti docenziali, analisi di caso e testimonianze esterne portate da esperti di diversi contesti organizzativi.</w:t>
      </w:r>
    </w:p>
    <w:p w14:paraId="134FF87A" w14:textId="77777777" w:rsidR="00F60198" w:rsidRDefault="00F60198" w:rsidP="00DA3E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FC1597" w14:textId="64E74DC8" w:rsidR="00F60198" w:rsidRPr="00660FFA" w:rsidRDefault="00F60198" w:rsidP="00DA3E84">
      <w:pPr>
        <w:pStyle w:val="Testo2"/>
        <w:spacing w:line="240" w:lineRule="exact"/>
      </w:pPr>
      <w:r w:rsidRPr="00660FFA">
        <w:t xml:space="preserve">L’esame consisterà in una prova scritta, suddivida in due parti,  entrambe </w:t>
      </w:r>
      <w:r w:rsidRPr="005D2338">
        <w:t>obbligatorie per tutti gli studenti</w:t>
      </w:r>
      <w:r>
        <w:t>. L’esame prevede la</w:t>
      </w:r>
      <w:r w:rsidRPr="00660FFA">
        <w:t xml:space="preserve"> possibilità di integrazione con una prova orale</w:t>
      </w:r>
      <w:r>
        <w:t xml:space="preserve"> solo a</w:t>
      </w:r>
      <w:r w:rsidRPr="00660FFA">
        <w:t xml:space="preserve"> discrezione della Commissione d’esame, sulla base della valutazione complessiva e di eventuali discrepanze </w:t>
      </w:r>
      <w:r>
        <w:t>ri</w:t>
      </w:r>
      <w:r w:rsidR="00BE6615">
        <w:t>s</w:t>
      </w:r>
      <w:r>
        <w:t xml:space="preserve">contrate </w:t>
      </w:r>
      <w:r w:rsidRPr="00660FFA">
        <w:t>nelle risposte</w:t>
      </w:r>
      <w:r w:rsidR="000F4B5E">
        <w:t xml:space="preserve"> date dallo studente</w:t>
      </w:r>
      <w:r w:rsidRPr="00660FFA">
        <w:t>.</w:t>
      </w:r>
      <w:r w:rsidRPr="005D2338">
        <w:t> </w:t>
      </w:r>
    </w:p>
    <w:p w14:paraId="4AD547AD" w14:textId="77777777" w:rsidR="00F60198" w:rsidRDefault="00F60198" w:rsidP="00DA3E84">
      <w:pPr>
        <w:pStyle w:val="Testo2"/>
        <w:spacing w:line="240" w:lineRule="exact"/>
      </w:pPr>
      <w:r>
        <w:t>La prima</w:t>
      </w:r>
      <w:r w:rsidRPr="005D2338">
        <w:t xml:space="preserve"> </w:t>
      </w:r>
      <w:r>
        <w:t>parte della prova comprende</w:t>
      </w:r>
      <w:r w:rsidRPr="005D2338">
        <w:t xml:space="preserve"> </w:t>
      </w:r>
      <w:r>
        <w:t>3</w:t>
      </w:r>
      <w:r w:rsidRPr="005D2338">
        <w:t>0 domande a risposta multipla riferite</w:t>
      </w:r>
      <w:r>
        <w:t xml:space="preserve"> al manuale di base (testo n°1)</w:t>
      </w:r>
      <w:r w:rsidRPr="005D2338">
        <w:t xml:space="preserve">. Le </w:t>
      </w:r>
      <w:r>
        <w:t>3</w:t>
      </w:r>
      <w:r w:rsidRPr="005D2338">
        <w:t xml:space="preserve">0 domande della prova scritta </w:t>
      </w:r>
      <w:r>
        <w:t>saranno valutate con</w:t>
      </w:r>
      <w:r w:rsidRPr="005D2338">
        <w:t xml:space="preserve"> uguale peso, ciasc</w:t>
      </w:r>
      <w:r>
        <w:t xml:space="preserve">una con il seguente punteggio: </w:t>
      </w:r>
      <w:r w:rsidRPr="005D2338">
        <w:t xml:space="preserve">0 in caso di mancata risposta, </w:t>
      </w:r>
      <w:r>
        <w:t>0,5</w:t>
      </w:r>
      <w:r w:rsidRPr="005D2338">
        <w:t xml:space="preserve"> in caso di risposta </w:t>
      </w:r>
      <w:r w:rsidRPr="005D2338">
        <w:lastRenderedPageBreak/>
        <w:t>corretta</w:t>
      </w:r>
      <w:r>
        <w:t xml:space="preserve">. Il punteggio complessivo totale della parte a risposta multipla potrà variare da 0 a 15 punti. </w:t>
      </w:r>
    </w:p>
    <w:p w14:paraId="6BE24331" w14:textId="00E5A626" w:rsidR="00F60198" w:rsidRDefault="00F60198" w:rsidP="00DA3E84">
      <w:pPr>
        <w:pStyle w:val="Testo2"/>
        <w:spacing w:line="240" w:lineRule="exact"/>
      </w:pPr>
      <w:r>
        <w:t xml:space="preserve">La seconda parte prevede 3 domande a risposta aperta che riguarderano i libri integrativi (testi n° 2 e n°3). </w:t>
      </w:r>
      <w:r w:rsidR="003637CC">
        <w:t>Ad ognuna delle</w:t>
      </w:r>
      <w:r>
        <w:t xml:space="preserve"> tre domande aperte verrà attribuito un punteggio </w:t>
      </w:r>
      <w:r w:rsidR="003637CC">
        <w:t xml:space="preserve">compreso </w:t>
      </w:r>
      <w:r>
        <w:t xml:space="preserve">da 1 a 5. Il punteggio complessivo della parte a risposte aperte potrà variare da 0 a 15 punti. </w:t>
      </w:r>
      <w:r w:rsidRPr="005E1094">
        <w:t>Nella valutazione saranno considerate: a) la correttezza delle risposte, b) la pertinenza, c) la completezza</w:t>
      </w:r>
      <w:r>
        <w:t>,</w:t>
      </w:r>
      <w:r w:rsidRPr="005E1094">
        <w:t xml:space="preserve"> d) l’appropriatezza del linguaggio.</w:t>
      </w:r>
    </w:p>
    <w:p w14:paraId="62389108" w14:textId="77777777" w:rsidR="00F60198" w:rsidRDefault="00F60198" w:rsidP="00DA3E84">
      <w:pPr>
        <w:pStyle w:val="Testo2"/>
        <w:spacing w:line="240" w:lineRule="exact"/>
      </w:pPr>
      <w:r w:rsidRPr="005E1094">
        <w:t>Le risposte alle domande aperte verranno valutate in base ai seguenti criteri:</w:t>
      </w:r>
    </w:p>
    <w:p w14:paraId="16461D44" w14:textId="77777777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>0 = risposta mancante o errata o insufficiente;</w:t>
      </w:r>
    </w:p>
    <w:p w14:paraId="1ADD8768" w14:textId="77777777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>1= contenuti non pienamente pertinenti, ed esposti in modo non efficace;</w:t>
      </w:r>
    </w:p>
    <w:p w14:paraId="3FA0621E" w14:textId="77777777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>2 = risposta con sporadici e non sistematici elementi corretti, nel prevalere complessivo di contenuti poco approfonditi;</w:t>
      </w:r>
    </w:p>
    <w:p w14:paraId="06E101BA" w14:textId="0546584F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>3 = risposta contestualizzata correttamente ma esposta con un linguaggio non completamente appropriato, con scarsi collegamenti tra le teorie e senza riferimenti espliciti ad autori</w:t>
      </w:r>
      <w:r w:rsidR="003637CC">
        <w:rPr>
          <w:color w:val="000000" w:themeColor="text1"/>
        </w:rPr>
        <w:t>;</w:t>
      </w:r>
    </w:p>
    <w:p w14:paraId="010BF479" w14:textId="539E3F28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>4 = risposta corretta e pertinente, esposta con un linguaggio appropriato</w:t>
      </w:r>
      <w:r w:rsidR="003637CC">
        <w:rPr>
          <w:color w:val="000000" w:themeColor="text1"/>
        </w:rPr>
        <w:t>;</w:t>
      </w:r>
    </w:p>
    <w:p w14:paraId="42AE6667" w14:textId="77777777" w:rsidR="00F60198" w:rsidRPr="00F60198" w:rsidRDefault="00F60198" w:rsidP="00DA3E84">
      <w:pPr>
        <w:pStyle w:val="Testo2"/>
        <w:spacing w:line="240" w:lineRule="exact"/>
        <w:rPr>
          <w:color w:val="000000" w:themeColor="text1"/>
        </w:rPr>
      </w:pPr>
      <w:r w:rsidRPr="00F60198">
        <w:rPr>
          <w:color w:val="000000" w:themeColor="text1"/>
        </w:rPr>
        <w:t xml:space="preserve">5 = risposta corretta, pertinente, coerente e completa. La risposta risulta inoltre ben organizzata e presenta collegamenti ragionati e riferimenti espliciti ad autori citati nei testi. </w:t>
      </w:r>
    </w:p>
    <w:p w14:paraId="5B6CD343" w14:textId="77777777" w:rsidR="00F60198" w:rsidRDefault="00F60198" w:rsidP="00DA3E84">
      <w:pPr>
        <w:pStyle w:val="Testo2"/>
        <w:spacing w:line="240" w:lineRule="exact"/>
      </w:pPr>
      <w:r>
        <w:t xml:space="preserve">I punteggi delle due parti scritte verranno sommati e verrà attribuito un punteggio totale complessivo di 30 punti. </w:t>
      </w:r>
    </w:p>
    <w:p w14:paraId="6580B4DD" w14:textId="77777777" w:rsidR="00F60198" w:rsidRDefault="00F60198" w:rsidP="00DA3E8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5A771B5" w14:textId="77777777" w:rsidR="00F60198" w:rsidRDefault="00F60198" w:rsidP="00DA3E84">
      <w:pPr>
        <w:pStyle w:val="Testo2"/>
        <w:spacing w:line="240" w:lineRule="exact"/>
      </w:pPr>
      <w:r w:rsidRPr="005035A7">
        <w:t xml:space="preserve">È richiesta la conoscenza dei concetti e delle categorie di base affrontate nei corsi di psicologia sociale </w:t>
      </w:r>
      <w:r>
        <w:t xml:space="preserve">e di psicologia del lavoro. </w:t>
      </w:r>
    </w:p>
    <w:p w14:paraId="02BAB7FA" w14:textId="77777777" w:rsidR="007E2DB4" w:rsidRPr="00E03514" w:rsidRDefault="007E2DB4" w:rsidP="00DA3E84">
      <w:pPr>
        <w:pStyle w:val="Testo2"/>
        <w:spacing w:before="120" w:line="240" w:lineRule="exact"/>
        <w:rPr>
          <w:rFonts w:ascii="Times New Roman" w:hAnsi="Times New Roman"/>
          <w:i/>
          <w:noProof w:val="0"/>
          <w:color w:val="000000" w:themeColor="text1"/>
          <w:szCs w:val="18"/>
        </w:rPr>
      </w:pPr>
      <w:r w:rsidRPr="00E03514">
        <w:rPr>
          <w:rFonts w:ascii="Times New Roman" w:hAnsi="Times New Roman"/>
          <w:i/>
          <w:noProof w:val="0"/>
          <w:color w:val="000000" w:themeColor="text1"/>
          <w:szCs w:val="18"/>
        </w:rPr>
        <w:t>Orario e luogo di ricevimento</w:t>
      </w:r>
    </w:p>
    <w:p w14:paraId="5030A3CC" w14:textId="77777777" w:rsidR="007E2DB4" w:rsidRPr="00E03514" w:rsidRDefault="007E2DB4" w:rsidP="00DA3E84">
      <w:pPr>
        <w:pStyle w:val="Testo2"/>
        <w:spacing w:line="240" w:lineRule="exact"/>
        <w:rPr>
          <w:color w:val="000000" w:themeColor="text1"/>
          <w:szCs w:val="18"/>
        </w:rPr>
      </w:pPr>
      <w:r w:rsidRPr="00E03514">
        <w:rPr>
          <w:color w:val="000000" w:themeColor="text1"/>
          <w:szCs w:val="18"/>
        </w:rPr>
        <w:t>Il Prof. Silvio Carlo Ripamonti riceve gli studenti il martedì dalle ore 14,00 alle ore 15,00 presso lo studio nel Dipartimento di Psicologia.</w:t>
      </w:r>
    </w:p>
    <w:sectPr w:rsidR="007E2DB4" w:rsidRPr="00E035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FBFF" w14:textId="77777777" w:rsidR="00D17488" w:rsidRDefault="00D17488" w:rsidP="00E0275B">
      <w:pPr>
        <w:spacing w:line="240" w:lineRule="auto"/>
      </w:pPr>
      <w:r>
        <w:separator/>
      </w:r>
    </w:p>
  </w:endnote>
  <w:endnote w:type="continuationSeparator" w:id="0">
    <w:p w14:paraId="47A0CD66" w14:textId="77777777" w:rsidR="00D17488" w:rsidRDefault="00D17488" w:rsidP="00E02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2E7F" w14:textId="77777777" w:rsidR="00D17488" w:rsidRDefault="00D17488" w:rsidP="00E0275B">
      <w:pPr>
        <w:spacing w:line="240" w:lineRule="auto"/>
      </w:pPr>
      <w:r>
        <w:separator/>
      </w:r>
    </w:p>
  </w:footnote>
  <w:footnote w:type="continuationSeparator" w:id="0">
    <w:p w14:paraId="4E60FF48" w14:textId="77777777" w:rsidR="00D17488" w:rsidRDefault="00D17488" w:rsidP="00E0275B">
      <w:pPr>
        <w:spacing w:line="240" w:lineRule="auto"/>
      </w:pPr>
      <w:r>
        <w:continuationSeparator/>
      </w:r>
    </w:p>
  </w:footnote>
  <w:footnote w:id="1">
    <w:p w14:paraId="0CBBAF3D" w14:textId="2A5B9E4F" w:rsidR="009B611F" w:rsidRPr="009B611F" w:rsidRDefault="009B611F" w:rsidP="009B611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CD7"/>
    <w:multiLevelType w:val="hybridMultilevel"/>
    <w:tmpl w:val="0C80D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92875"/>
    <w:multiLevelType w:val="hybridMultilevel"/>
    <w:tmpl w:val="AB869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380C"/>
    <w:multiLevelType w:val="hybridMultilevel"/>
    <w:tmpl w:val="AF76CE38"/>
    <w:lvl w:ilvl="0" w:tplc="365A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65790">
    <w:abstractNumId w:val="1"/>
  </w:num>
  <w:num w:numId="2" w16cid:durableId="204342495">
    <w:abstractNumId w:val="2"/>
  </w:num>
  <w:num w:numId="3" w16cid:durableId="30404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AA"/>
    <w:rsid w:val="00022270"/>
    <w:rsid w:val="00023202"/>
    <w:rsid w:val="000B24E0"/>
    <w:rsid w:val="000D526A"/>
    <w:rsid w:val="000D6E0E"/>
    <w:rsid w:val="000F4B5E"/>
    <w:rsid w:val="00112EAE"/>
    <w:rsid w:val="001345DC"/>
    <w:rsid w:val="00187B99"/>
    <w:rsid w:val="001C7C05"/>
    <w:rsid w:val="001F545B"/>
    <w:rsid w:val="002014DD"/>
    <w:rsid w:val="00203FC2"/>
    <w:rsid w:val="00230EE7"/>
    <w:rsid w:val="00297CC2"/>
    <w:rsid w:val="002C1EB7"/>
    <w:rsid w:val="002D5E17"/>
    <w:rsid w:val="00304BC6"/>
    <w:rsid w:val="00342B3F"/>
    <w:rsid w:val="00353993"/>
    <w:rsid w:val="003637CC"/>
    <w:rsid w:val="004426A2"/>
    <w:rsid w:val="004512F9"/>
    <w:rsid w:val="00455740"/>
    <w:rsid w:val="0046617C"/>
    <w:rsid w:val="004D1217"/>
    <w:rsid w:val="004D6008"/>
    <w:rsid w:val="00545417"/>
    <w:rsid w:val="005B49FC"/>
    <w:rsid w:val="005C33E1"/>
    <w:rsid w:val="005C6A6F"/>
    <w:rsid w:val="005D447F"/>
    <w:rsid w:val="0062656F"/>
    <w:rsid w:val="00640794"/>
    <w:rsid w:val="00657E41"/>
    <w:rsid w:val="006C26F2"/>
    <w:rsid w:val="006E5B8C"/>
    <w:rsid w:val="006F1772"/>
    <w:rsid w:val="007A60BC"/>
    <w:rsid w:val="007E2DB4"/>
    <w:rsid w:val="008942E7"/>
    <w:rsid w:val="008A1204"/>
    <w:rsid w:val="008A4CF4"/>
    <w:rsid w:val="008D179F"/>
    <w:rsid w:val="00900CCA"/>
    <w:rsid w:val="009171AC"/>
    <w:rsid w:val="00924B77"/>
    <w:rsid w:val="00940DA2"/>
    <w:rsid w:val="00991187"/>
    <w:rsid w:val="009A3B41"/>
    <w:rsid w:val="009B611F"/>
    <w:rsid w:val="009D3761"/>
    <w:rsid w:val="009E055C"/>
    <w:rsid w:val="00A263EF"/>
    <w:rsid w:val="00A74702"/>
    <w:rsid w:val="00A74F6F"/>
    <w:rsid w:val="00AD7557"/>
    <w:rsid w:val="00B11F61"/>
    <w:rsid w:val="00B17052"/>
    <w:rsid w:val="00B22A00"/>
    <w:rsid w:val="00B50C5D"/>
    <w:rsid w:val="00B51253"/>
    <w:rsid w:val="00B525CC"/>
    <w:rsid w:val="00B73E48"/>
    <w:rsid w:val="00BC0EB6"/>
    <w:rsid w:val="00BE6615"/>
    <w:rsid w:val="00C04060"/>
    <w:rsid w:val="00C410D5"/>
    <w:rsid w:val="00C5183E"/>
    <w:rsid w:val="00CB4BB3"/>
    <w:rsid w:val="00CE428D"/>
    <w:rsid w:val="00D02A80"/>
    <w:rsid w:val="00D128B9"/>
    <w:rsid w:val="00D17488"/>
    <w:rsid w:val="00D24B5A"/>
    <w:rsid w:val="00D404F2"/>
    <w:rsid w:val="00DA3E84"/>
    <w:rsid w:val="00DC4068"/>
    <w:rsid w:val="00E02192"/>
    <w:rsid w:val="00E0275B"/>
    <w:rsid w:val="00E03514"/>
    <w:rsid w:val="00E272C8"/>
    <w:rsid w:val="00E340CB"/>
    <w:rsid w:val="00E607E6"/>
    <w:rsid w:val="00EC2EDE"/>
    <w:rsid w:val="00F60198"/>
    <w:rsid w:val="00F7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E7A68"/>
  <w15:docId w15:val="{D40448A8-470A-46C5-B6EC-7CD27650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7E2DB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E027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75B"/>
  </w:style>
  <w:style w:type="character" w:styleId="Rimandonotaapidipagina">
    <w:name w:val="footnote reference"/>
    <w:basedOn w:val="Carpredefinitoparagrafo"/>
    <w:rsid w:val="00E027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B4BB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C0E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B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-l-cunliffe/il-management-approcci-culture-etica-9788860308764-2462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n-l-cunliffe/il-management-approcci-culture-etica-9788860308764-2462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n-l-cunliffe/il-management-approcci-culture-etica-9788860308764-2462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64A3-E977-4539-A6B5-0C3CACF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3</TotalTime>
  <Pages>3</Pages>
  <Words>842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4</cp:revision>
  <cp:lastPrinted>2020-05-07T07:10:00Z</cp:lastPrinted>
  <dcterms:created xsi:type="dcterms:W3CDTF">2023-09-11T09:06:00Z</dcterms:created>
  <dcterms:modified xsi:type="dcterms:W3CDTF">2023-09-19T13:28:00Z</dcterms:modified>
</cp:coreProperties>
</file>