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A95" w:rsidRPr="00EF5CC8" w:rsidRDefault="00894EF3">
      <w:pPr>
        <w:pStyle w:val="Titolo1"/>
        <w:rPr>
          <w:rFonts w:ascii="Times New Roman" w:hAnsi="Times New Roman"/>
        </w:rPr>
      </w:pPr>
      <w:r w:rsidRPr="00EF5CC8">
        <w:rPr>
          <w:rFonts w:ascii="Times New Roman" w:hAnsi="Times New Roman"/>
        </w:rPr>
        <w:t>Economia e tecniche di comunicazione aziendale</w:t>
      </w:r>
    </w:p>
    <w:p w14:paraId="00000002" w14:textId="4637D4F2" w:rsidR="009D3A95" w:rsidRPr="00894EF3" w:rsidRDefault="00894EF3">
      <w:pPr>
        <w:pStyle w:val="Titolo2"/>
        <w:rPr>
          <w:rFonts w:ascii="Times New Roman" w:hAnsi="Times New Roman"/>
          <w:szCs w:val="18"/>
        </w:rPr>
      </w:pPr>
      <w:r w:rsidRPr="00894EF3">
        <w:rPr>
          <w:rFonts w:ascii="Times New Roman" w:hAnsi="Times New Roman"/>
          <w:szCs w:val="18"/>
        </w:rPr>
        <w:t>Prof. Stefania Boleso; Prof. Stefania Micaela Vitulli</w:t>
      </w:r>
    </w:p>
    <w:p w14:paraId="00000004" w14:textId="7BD58018" w:rsidR="009D3A95" w:rsidRPr="00EF5CC8" w:rsidRDefault="00894EF3" w:rsidP="001875B5">
      <w:pPr>
        <w:spacing w:before="240" w:after="120" w:line="240" w:lineRule="auto"/>
        <w:rPr>
          <w:b/>
          <w:szCs w:val="20"/>
        </w:rPr>
      </w:pPr>
      <w:r w:rsidRPr="00EF5CC8">
        <w:rPr>
          <w:b/>
          <w:i/>
          <w:szCs w:val="20"/>
        </w:rPr>
        <w:t>OBIETTIVO DEL CORSO E RISULTATI DI APPRENDIMENTO ATTESI</w:t>
      </w:r>
    </w:p>
    <w:p w14:paraId="0000000D" w14:textId="33ED1320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t xml:space="preserve">La prima parte del corso introduce il concetto di corporate </w:t>
      </w:r>
      <w:proofErr w:type="spellStart"/>
      <w:r w:rsidRPr="00EF5CC8">
        <w:rPr>
          <w:szCs w:val="20"/>
        </w:rPr>
        <w:t>communication</w:t>
      </w:r>
      <w:proofErr w:type="spellEnd"/>
      <w:r w:rsidRPr="00EF5CC8">
        <w:rPr>
          <w:szCs w:val="20"/>
        </w:rPr>
        <w:t xml:space="preserve"> intesa come comunicazione d’azienda, focalizzandosi sugli asset intangibili incarnati da uno specifico vocabolario; sulla evoluzione del ruolo dello stakeholder da ricettore del messaggio aziendale a co-creatore di valore e soggetto di comunicazione in una logica pull/peer to peer; sulla applicazione di una logica multiculturale alla comunicazione. Speciali approfondimenti verranno riservati al CEO come strumento di comunicazione corporate e alla comunicazione della sostenibilità ambientale e sociale, con l’introduzione al contesto, a guidelines e ad un approccio ai green stakeholders.</w:t>
      </w:r>
    </w:p>
    <w:p w14:paraId="0000000F" w14:textId="77777777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t>Al termine di questo modulo gli studenti saranno in grado:</w:t>
      </w:r>
    </w:p>
    <w:p w14:paraId="00000010" w14:textId="77777777" w:rsidR="009D3A95" w:rsidRPr="00EF5CC8" w:rsidRDefault="00894EF3" w:rsidP="00894EF3">
      <w:pPr>
        <w:numPr>
          <w:ilvl w:val="0"/>
          <w:numId w:val="1"/>
        </w:numPr>
        <w:spacing w:line="240" w:lineRule="exact"/>
        <w:rPr>
          <w:szCs w:val="20"/>
        </w:rPr>
      </w:pPr>
      <w:r w:rsidRPr="00EF5CC8">
        <w:rPr>
          <w:szCs w:val="20"/>
        </w:rPr>
        <w:t xml:space="preserve">di comprendere in modo critico evoluzione e importanza della gestione della comunicazione d’azienda in un’ottica </w:t>
      </w:r>
      <w:proofErr w:type="spellStart"/>
      <w:r w:rsidRPr="00EF5CC8">
        <w:rPr>
          <w:szCs w:val="20"/>
        </w:rPr>
        <w:t>multistakholder</w:t>
      </w:r>
      <w:proofErr w:type="spellEnd"/>
      <w:r w:rsidRPr="00EF5CC8">
        <w:rPr>
          <w:szCs w:val="20"/>
        </w:rPr>
        <w:t xml:space="preserve"> come asset strategico</w:t>
      </w:r>
    </w:p>
    <w:p w14:paraId="00000011" w14:textId="77777777" w:rsidR="009D3A95" w:rsidRPr="00EF5CC8" w:rsidRDefault="00894EF3" w:rsidP="00894EF3">
      <w:pPr>
        <w:numPr>
          <w:ilvl w:val="0"/>
          <w:numId w:val="1"/>
        </w:numPr>
        <w:spacing w:line="240" w:lineRule="exact"/>
        <w:rPr>
          <w:szCs w:val="20"/>
        </w:rPr>
      </w:pPr>
      <w:r w:rsidRPr="00EF5CC8">
        <w:rPr>
          <w:szCs w:val="20"/>
        </w:rPr>
        <w:t>di comprendere come la comunicazione d’azienda interagisca con decisioni etiche e possa avere un impatto sui conflitti culturali o esserne influenzata</w:t>
      </w:r>
    </w:p>
    <w:p w14:paraId="00000012" w14:textId="77777777" w:rsidR="009D3A95" w:rsidRPr="00EF5CC8" w:rsidRDefault="00894EF3" w:rsidP="00894EF3">
      <w:pPr>
        <w:numPr>
          <w:ilvl w:val="0"/>
          <w:numId w:val="1"/>
        </w:numPr>
        <w:spacing w:line="240" w:lineRule="exact"/>
        <w:rPr>
          <w:szCs w:val="20"/>
        </w:rPr>
      </w:pPr>
      <w:r w:rsidRPr="00EF5CC8">
        <w:rPr>
          <w:szCs w:val="20"/>
        </w:rPr>
        <w:t>di valutare una strategia di comunicazione corporate e partecipare al suo sviluppo attraverso la ricezione di un brief e l’analisi di casi studio (project work)</w:t>
      </w:r>
    </w:p>
    <w:p w14:paraId="00000013" w14:textId="77777777" w:rsidR="009D3A95" w:rsidRPr="00EF5CC8" w:rsidRDefault="00894EF3" w:rsidP="00894EF3">
      <w:pPr>
        <w:numPr>
          <w:ilvl w:val="0"/>
          <w:numId w:val="1"/>
        </w:numPr>
        <w:spacing w:line="240" w:lineRule="exact"/>
        <w:rPr>
          <w:szCs w:val="20"/>
        </w:rPr>
      </w:pPr>
      <w:r w:rsidRPr="00EF5CC8">
        <w:rPr>
          <w:szCs w:val="20"/>
        </w:rPr>
        <w:t xml:space="preserve">di riconoscere e analizzare opzioni strategiche di comunicazione corporate di sostenibilità </w:t>
      </w:r>
    </w:p>
    <w:p w14:paraId="00000014" w14:textId="77777777" w:rsidR="009D3A95" w:rsidRPr="00EF5CC8" w:rsidRDefault="009D3A95" w:rsidP="00894EF3">
      <w:pPr>
        <w:spacing w:line="240" w:lineRule="exact"/>
        <w:ind w:left="720"/>
        <w:rPr>
          <w:szCs w:val="20"/>
        </w:rPr>
      </w:pPr>
    </w:p>
    <w:p w14:paraId="00000015" w14:textId="77777777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t xml:space="preserve">Obiettivo della seconda parte del corso è invece quello di far comprendere agli studenti il ruolo strategico della marca nel contesto attuale. A tal proposito, della marca si propongono sia un’analisi del concetto, affrontando nello specifico le dimensioni che compongono l’identità di marca e il processo di posizionamento, sia il racconto di come le diverse attività di comunicazione di marca siano </w:t>
      </w:r>
      <w:proofErr w:type="spellStart"/>
      <w:r w:rsidRPr="00EF5CC8">
        <w:rPr>
          <w:szCs w:val="20"/>
        </w:rPr>
        <w:t>touchpoint</w:t>
      </w:r>
      <w:proofErr w:type="spellEnd"/>
      <w:r w:rsidRPr="00EF5CC8">
        <w:rPr>
          <w:szCs w:val="20"/>
        </w:rPr>
        <w:t xml:space="preserve"> importanti per ingaggiare e coinvolgere il consumatore in tutte le fasi della sua relazione con l’azienda.</w:t>
      </w:r>
    </w:p>
    <w:p w14:paraId="00000018" w14:textId="0D4C7F45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t xml:space="preserve">Verrà poi affrontato il tema dell’evoluzione della comunicazione di marca, delle nuove modalità espressive a disposizione delle aziende per ingaggiare il pubblico, che le organizzazioni devono saper utilizzare per riuscire a restare competitive e continuare a generare valore per il mercato, con l’obiettivo ultimo di creare e accrescere la cosiddetta equity, cioè il valore della marca. </w:t>
      </w:r>
    </w:p>
    <w:p w14:paraId="0000001A" w14:textId="4ABB218E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lastRenderedPageBreak/>
        <w:t>Queste conoscenze consentiranno allo studente di valutare l’efficacia delle strategie comunicative attuate dalle marche.</w:t>
      </w:r>
    </w:p>
    <w:p w14:paraId="0000001B" w14:textId="77777777" w:rsidR="009D3A95" w:rsidRPr="00EF5CC8" w:rsidRDefault="00894EF3" w:rsidP="00894EF3">
      <w:pPr>
        <w:spacing w:line="240" w:lineRule="exact"/>
        <w:rPr>
          <w:szCs w:val="20"/>
        </w:rPr>
      </w:pPr>
      <w:r w:rsidRPr="00EF5CC8">
        <w:rPr>
          <w:szCs w:val="20"/>
        </w:rPr>
        <w:t>Al termine di questo secondo modulo gli studenti saranno in grado di:</w:t>
      </w:r>
    </w:p>
    <w:p w14:paraId="0000001C" w14:textId="77777777" w:rsidR="009D3A95" w:rsidRPr="00EF5CC8" w:rsidRDefault="00894EF3" w:rsidP="00894EF3">
      <w:pPr>
        <w:shd w:val="clear" w:color="auto" w:fill="FFFFFF"/>
        <w:spacing w:line="240" w:lineRule="exact"/>
        <w:rPr>
          <w:szCs w:val="20"/>
        </w:rPr>
      </w:pPr>
      <w:r w:rsidRPr="00EF5CC8">
        <w:rPr>
          <w:szCs w:val="20"/>
        </w:rPr>
        <w:t>- conoscere e sviluppare un pensiero critico su strumenti e i metodi per la comunicazione di marca, anche attraverso l’analisi di casi studio.</w:t>
      </w:r>
    </w:p>
    <w:p w14:paraId="78012DD4" w14:textId="6ADA69A7" w:rsidR="001875B5" w:rsidRPr="00EF5CC8" w:rsidRDefault="00894EF3" w:rsidP="00894EF3">
      <w:pPr>
        <w:shd w:val="clear" w:color="auto" w:fill="FFFFFF"/>
        <w:spacing w:line="240" w:lineRule="exact"/>
        <w:rPr>
          <w:szCs w:val="20"/>
        </w:rPr>
      </w:pPr>
      <w:r w:rsidRPr="00EF5CC8">
        <w:rPr>
          <w:szCs w:val="20"/>
        </w:rPr>
        <w:t xml:space="preserve">- applicare le conoscenze acquisite per l’ideazione e lo sviluppo di progetti legati alla comunicazione di marca in </w:t>
      </w:r>
      <w:proofErr w:type="spellStart"/>
      <w:r w:rsidRPr="00EF5CC8">
        <w:rPr>
          <w:szCs w:val="20"/>
        </w:rPr>
        <w:t>équipe</w:t>
      </w:r>
      <w:proofErr w:type="spellEnd"/>
      <w:r w:rsidRPr="00EF5CC8">
        <w:rPr>
          <w:szCs w:val="20"/>
        </w:rPr>
        <w:t xml:space="preserve"> multidisciplinari</w:t>
      </w:r>
    </w:p>
    <w:p w14:paraId="40E7226E" w14:textId="77777777" w:rsidR="00894EF3" w:rsidRDefault="00894EF3" w:rsidP="001875B5">
      <w:pPr>
        <w:spacing w:before="240" w:after="120" w:line="240" w:lineRule="auto"/>
        <w:jc w:val="left"/>
        <w:rPr>
          <w:b/>
          <w:i/>
          <w:szCs w:val="20"/>
        </w:rPr>
      </w:pPr>
      <w:r w:rsidRPr="00EF5CC8">
        <w:rPr>
          <w:b/>
          <w:i/>
          <w:szCs w:val="20"/>
        </w:rPr>
        <w:t>PROGRAMMA DEL CORSO</w:t>
      </w:r>
    </w:p>
    <w:p w14:paraId="00000021" w14:textId="77777777" w:rsidR="009D3A95" w:rsidRPr="00EF5CC8" w:rsidRDefault="00894EF3">
      <w:pPr>
        <w:spacing w:line="240" w:lineRule="auto"/>
        <w:rPr>
          <w:i/>
          <w:szCs w:val="20"/>
        </w:rPr>
      </w:pPr>
      <w:r w:rsidRPr="00EF5CC8">
        <w:rPr>
          <w:smallCaps/>
          <w:szCs w:val="20"/>
        </w:rPr>
        <w:t>I Modulo</w:t>
      </w:r>
      <w:r w:rsidRPr="00EF5CC8">
        <w:rPr>
          <w:szCs w:val="20"/>
        </w:rPr>
        <w:t xml:space="preserve">: </w:t>
      </w:r>
      <w:r w:rsidRPr="00EF5CC8">
        <w:rPr>
          <w:i/>
          <w:szCs w:val="20"/>
        </w:rPr>
        <w:t>Prof. Stefania Micaela Vitulli</w:t>
      </w:r>
    </w:p>
    <w:p w14:paraId="00000022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Parte istituzionale</w:t>
      </w:r>
    </w:p>
    <w:p w14:paraId="00000023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 xml:space="preserve">Corporate </w:t>
      </w:r>
      <w:proofErr w:type="spellStart"/>
      <w:r w:rsidRPr="00EF5CC8">
        <w:rPr>
          <w:szCs w:val="20"/>
        </w:rPr>
        <w:t>Communication</w:t>
      </w:r>
      <w:proofErr w:type="spellEnd"/>
      <w:r w:rsidRPr="00EF5CC8">
        <w:rPr>
          <w:szCs w:val="20"/>
        </w:rPr>
        <w:t>: il vocabolario della comunicazione d’azienda e il framework collegato. Analisi dello stato dell’arte e del revamping dei tool corporate</w:t>
      </w:r>
    </w:p>
    <w:p w14:paraId="00000024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L’evoluzione della relazione azienda-stakeholder nel processo di comunicazione</w:t>
      </w:r>
    </w:p>
    <w:p w14:paraId="00000025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Cultural studies e impatto sulla comunicazione aziendale: barriere e opportunità</w:t>
      </w:r>
    </w:p>
    <w:p w14:paraId="00000026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Focus monografici</w:t>
      </w:r>
    </w:p>
    <w:p w14:paraId="00000027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Ceo branding</w:t>
      </w:r>
    </w:p>
    <w:p w14:paraId="00000028" w14:textId="77777777" w:rsidR="009D3A95" w:rsidRPr="00EF5CC8" w:rsidRDefault="00894EF3" w:rsidP="001875B5">
      <w:pPr>
        <w:pStyle w:val="Paragrafoelenco"/>
        <w:numPr>
          <w:ilvl w:val="0"/>
          <w:numId w:val="6"/>
        </w:numPr>
        <w:spacing w:before="120" w:line="240" w:lineRule="auto"/>
        <w:rPr>
          <w:szCs w:val="20"/>
        </w:rPr>
      </w:pPr>
      <w:r w:rsidRPr="00EF5CC8">
        <w:rPr>
          <w:szCs w:val="20"/>
        </w:rPr>
        <w:t>Come e perché comunicare la sostenibilità come vantaggio reputazionale</w:t>
      </w:r>
    </w:p>
    <w:p w14:paraId="0000002A" w14:textId="59AC7FAD" w:rsidR="009D3A95" w:rsidRPr="00EF5CC8" w:rsidRDefault="00894EF3" w:rsidP="001875B5">
      <w:pPr>
        <w:spacing w:before="240" w:after="120" w:line="240" w:lineRule="auto"/>
        <w:rPr>
          <w:i/>
          <w:szCs w:val="20"/>
        </w:rPr>
      </w:pPr>
      <w:proofErr w:type="gramStart"/>
      <w:r w:rsidRPr="00EF5CC8">
        <w:rPr>
          <w:smallCaps/>
          <w:szCs w:val="20"/>
        </w:rPr>
        <w:t>II</w:t>
      </w:r>
      <w:proofErr w:type="gramEnd"/>
      <w:r w:rsidRPr="00EF5CC8">
        <w:rPr>
          <w:smallCaps/>
          <w:szCs w:val="20"/>
        </w:rPr>
        <w:t xml:space="preserve"> Modulo</w:t>
      </w:r>
      <w:r w:rsidRPr="00EF5CC8">
        <w:rPr>
          <w:szCs w:val="20"/>
        </w:rPr>
        <w:t xml:space="preserve">: </w:t>
      </w:r>
      <w:r w:rsidRPr="00EF5CC8">
        <w:rPr>
          <w:i/>
          <w:szCs w:val="20"/>
        </w:rPr>
        <w:t xml:space="preserve">Prof. Stefania </w:t>
      </w:r>
      <w:proofErr w:type="spellStart"/>
      <w:r w:rsidRPr="00EF5CC8">
        <w:rPr>
          <w:i/>
          <w:szCs w:val="20"/>
        </w:rPr>
        <w:t>Boleso</w:t>
      </w:r>
      <w:proofErr w:type="spellEnd"/>
    </w:p>
    <w:p w14:paraId="0000002B" w14:textId="02D9EA36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Il concetto di </w:t>
      </w:r>
      <w:proofErr w:type="gramStart"/>
      <w:r w:rsidRPr="00EF5CC8">
        <w:rPr>
          <w:szCs w:val="20"/>
        </w:rPr>
        <w:t>brand</w:t>
      </w:r>
      <w:proofErr w:type="gramEnd"/>
      <w:r w:rsidRPr="00EF5CC8">
        <w:rPr>
          <w:szCs w:val="20"/>
        </w:rPr>
        <w:t xml:space="preserve"> e le funzioni della marca</w:t>
      </w:r>
    </w:p>
    <w:p w14:paraId="0000002C" w14:textId="1FBC629B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Le dimensioni della brand </w:t>
      </w:r>
      <w:proofErr w:type="spellStart"/>
      <w:r w:rsidRPr="00EF5CC8">
        <w:rPr>
          <w:szCs w:val="20"/>
        </w:rPr>
        <w:t>identity</w:t>
      </w:r>
      <w:proofErr w:type="spellEnd"/>
    </w:p>
    <w:p w14:paraId="0000002D" w14:textId="5A15F446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>Il processo di brand positioning</w:t>
      </w:r>
    </w:p>
    <w:p w14:paraId="0000002E" w14:textId="5E65BA61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>Progettare la comunicazione di marca partendo dagli insight</w:t>
      </w:r>
    </w:p>
    <w:p w14:paraId="0000002F" w14:textId="47E1656C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  <w:lang w:val="en-US"/>
        </w:rPr>
      </w:pPr>
      <w:r w:rsidRPr="00EF5CC8">
        <w:rPr>
          <w:szCs w:val="20"/>
          <w:lang w:val="en-US"/>
        </w:rPr>
        <w:t>Brand communication e il customer journey:</w:t>
      </w:r>
    </w:p>
    <w:p w14:paraId="00000030" w14:textId="7352A101" w:rsidR="009D3A95" w:rsidRPr="00EF5CC8" w:rsidRDefault="00894EF3" w:rsidP="001875B5">
      <w:pPr>
        <w:pStyle w:val="Paragrafoelenco"/>
        <w:numPr>
          <w:ilvl w:val="1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>Le diverse fasi del “viaggio”</w:t>
      </w:r>
    </w:p>
    <w:p w14:paraId="00000031" w14:textId="21350495" w:rsidR="009D3A95" w:rsidRPr="00EF5CC8" w:rsidRDefault="00894EF3" w:rsidP="001875B5">
      <w:pPr>
        <w:pStyle w:val="Paragrafoelenco"/>
        <w:numPr>
          <w:ilvl w:val="1"/>
          <w:numId w:val="5"/>
        </w:numPr>
        <w:spacing w:line="240" w:lineRule="auto"/>
        <w:rPr>
          <w:szCs w:val="20"/>
        </w:rPr>
      </w:pPr>
      <w:proofErr w:type="spellStart"/>
      <w:r w:rsidRPr="00EF5CC8">
        <w:rPr>
          <w:szCs w:val="20"/>
        </w:rPr>
        <w:t>Touchpoint</w:t>
      </w:r>
      <w:proofErr w:type="spellEnd"/>
      <w:r w:rsidRPr="00EF5CC8">
        <w:rPr>
          <w:szCs w:val="20"/>
        </w:rPr>
        <w:t xml:space="preserve"> e momenti della verità</w:t>
      </w:r>
    </w:p>
    <w:p w14:paraId="00000032" w14:textId="4562C5DD" w:rsidR="009D3A95" w:rsidRPr="00EF5CC8" w:rsidRDefault="00894EF3" w:rsidP="001875B5">
      <w:pPr>
        <w:pStyle w:val="Paragrafoelenco"/>
        <w:numPr>
          <w:ilvl w:val="1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Il marketing </w:t>
      </w:r>
      <w:proofErr w:type="spellStart"/>
      <w:r w:rsidRPr="00EF5CC8">
        <w:rPr>
          <w:szCs w:val="20"/>
        </w:rPr>
        <w:t>funnel</w:t>
      </w:r>
      <w:proofErr w:type="spellEnd"/>
    </w:p>
    <w:p w14:paraId="00000033" w14:textId="0F23E68C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L’evoluzione della brand </w:t>
      </w:r>
      <w:proofErr w:type="spellStart"/>
      <w:r w:rsidRPr="00EF5CC8">
        <w:rPr>
          <w:szCs w:val="20"/>
        </w:rPr>
        <w:t>communication</w:t>
      </w:r>
      <w:proofErr w:type="spellEnd"/>
      <w:r w:rsidRPr="00EF5CC8">
        <w:rPr>
          <w:szCs w:val="20"/>
        </w:rPr>
        <w:t>:</w:t>
      </w:r>
    </w:p>
    <w:p w14:paraId="00000034" w14:textId="08990718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>Il ruolo centrale del consumatore nella relazione con la marca, da destinatario passivo del messaggio a soggetto attivo</w:t>
      </w:r>
    </w:p>
    <w:p w14:paraId="00000035" w14:textId="6E32D4BC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L’importanza della brand </w:t>
      </w:r>
      <w:proofErr w:type="spellStart"/>
      <w:r w:rsidRPr="00EF5CC8">
        <w:rPr>
          <w:szCs w:val="20"/>
        </w:rPr>
        <w:t>experience</w:t>
      </w:r>
      <w:proofErr w:type="spellEnd"/>
    </w:p>
    <w:p w14:paraId="00000036" w14:textId="5FFFCCDF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>Le opportunità offerte dallo sviluppo tecnologico</w:t>
      </w:r>
    </w:p>
    <w:p w14:paraId="00000037" w14:textId="09B65689" w:rsidR="009D3A95" w:rsidRPr="00EF5CC8" w:rsidRDefault="00894EF3" w:rsidP="001875B5">
      <w:pPr>
        <w:pStyle w:val="Paragrafoelenco"/>
        <w:numPr>
          <w:ilvl w:val="0"/>
          <w:numId w:val="5"/>
        </w:numPr>
        <w:spacing w:line="240" w:lineRule="auto"/>
        <w:rPr>
          <w:szCs w:val="20"/>
        </w:rPr>
      </w:pPr>
      <w:r w:rsidRPr="00EF5CC8">
        <w:rPr>
          <w:szCs w:val="20"/>
        </w:rPr>
        <w:t xml:space="preserve">Il fine ultimo della brand </w:t>
      </w:r>
      <w:proofErr w:type="spellStart"/>
      <w:r w:rsidRPr="00EF5CC8">
        <w:rPr>
          <w:szCs w:val="20"/>
        </w:rPr>
        <w:t>communication</w:t>
      </w:r>
      <w:proofErr w:type="spellEnd"/>
      <w:r w:rsidRPr="00EF5CC8">
        <w:rPr>
          <w:szCs w:val="20"/>
        </w:rPr>
        <w:t>: ottenere equity, vale a dire valore per la marca</w:t>
      </w:r>
    </w:p>
    <w:p w14:paraId="0000003B" w14:textId="75E40405" w:rsidR="009D3A95" w:rsidRPr="00EF5CC8" w:rsidRDefault="00894EF3">
      <w:pPr>
        <w:spacing w:before="120" w:line="261" w:lineRule="auto"/>
        <w:rPr>
          <w:smallCaps/>
          <w:szCs w:val="20"/>
        </w:rPr>
      </w:pPr>
      <w:r w:rsidRPr="00EF5CC8">
        <w:rPr>
          <w:smallCaps/>
          <w:szCs w:val="20"/>
        </w:rPr>
        <w:t>Parte applicativa</w:t>
      </w:r>
    </w:p>
    <w:p w14:paraId="0000003C" w14:textId="7B455887" w:rsidR="009D3A95" w:rsidRPr="00EF5CC8" w:rsidRDefault="00894EF3">
      <w:pPr>
        <w:spacing w:line="261" w:lineRule="auto"/>
        <w:rPr>
          <w:szCs w:val="20"/>
        </w:rPr>
      </w:pPr>
      <w:r w:rsidRPr="00EF5CC8">
        <w:rPr>
          <w:szCs w:val="20"/>
        </w:rPr>
        <w:lastRenderedPageBreak/>
        <w:t xml:space="preserve">Gli studenti </w:t>
      </w:r>
      <w:r w:rsidR="00A37A06">
        <w:rPr>
          <w:szCs w:val="20"/>
        </w:rPr>
        <w:t>d</w:t>
      </w:r>
      <w:r w:rsidRPr="00EF5CC8">
        <w:rPr>
          <w:szCs w:val="20"/>
        </w:rPr>
        <w:t>ovranno partecipare ad un project work a gruppi su un caso aziendale proposto da un’azienda ospite.</w:t>
      </w:r>
    </w:p>
    <w:p w14:paraId="0000003F" w14:textId="26520D4A" w:rsidR="009D3A95" w:rsidRPr="00EF5CC8" w:rsidRDefault="00894EF3" w:rsidP="001875B5">
      <w:pPr>
        <w:spacing w:line="261" w:lineRule="auto"/>
        <w:rPr>
          <w:szCs w:val="20"/>
        </w:rPr>
      </w:pPr>
      <w:r w:rsidRPr="00EF5CC8">
        <w:rPr>
          <w:szCs w:val="20"/>
        </w:rPr>
        <w:t xml:space="preserve">Agli studenti potrebbe anche essere richiesto di presentare durante il corso contenuti teorici in forma di lezione per testare la capacità di comprensione, elaborazione dei nessi e prospettiva critica e/o di partecipare a task applicativi e/o a incontri con guest speaker relativi </w:t>
      </w:r>
      <w:proofErr w:type="gramStart"/>
      <w:r w:rsidRPr="00EF5CC8">
        <w:rPr>
          <w:szCs w:val="20"/>
        </w:rPr>
        <w:t>ai focus</w:t>
      </w:r>
      <w:proofErr w:type="gramEnd"/>
      <w:r w:rsidRPr="00EF5CC8">
        <w:rPr>
          <w:szCs w:val="20"/>
        </w:rPr>
        <w:t xml:space="preserve"> specifici del corso. Fondamentale sarà inoltre l’interazione in aula con il docente e tra i pari.</w:t>
      </w:r>
    </w:p>
    <w:p w14:paraId="7EE0DCE8" w14:textId="76B08892" w:rsidR="001875B5" w:rsidRPr="00EF5CC8" w:rsidRDefault="00894EF3">
      <w:pPr>
        <w:spacing w:before="240" w:after="120" w:line="220" w:lineRule="auto"/>
        <w:rPr>
          <w:b/>
          <w:i/>
          <w:szCs w:val="20"/>
          <w:vertAlign w:val="superscript"/>
        </w:rPr>
      </w:pPr>
      <w:r w:rsidRPr="00EF5CC8">
        <w:rPr>
          <w:b/>
          <w:i/>
          <w:szCs w:val="20"/>
        </w:rPr>
        <w:t>BIBLIOGRAFIA</w:t>
      </w:r>
      <w:r w:rsidR="000A7D9B">
        <w:rPr>
          <w:rStyle w:val="Rimandonotaapidipagina"/>
          <w:b/>
          <w:i/>
          <w:szCs w:val="20"/>
        </w:rPr>
        <w:footnoteReference w:id="1"/>
      </w:r>
    </w:p>
    <w:p w14:paraId="0000004C" w14:textId="258AB5AE" w:rsidR="009D3A95" w:rsidRPr="00894EF3" w:rsidRDefault="00894EF3" w:rsidP="00894EF3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 w:hanging="284"/>
        <w:rPr>
          <w:rFonts w:eastAsia="Times"/>
          <w:color w:val="000000"/>
          <w:sz w:val="18"/>
          <w:szCs w:val="18"/>
        </w:rPr>
      </w:pPr>
      <w:r w:rsidRPr="00894EF3">
        <w:rPr>
          <w:rFonts w:eastAsia="Times"/>
          <w:color w:val="000000"/>
          <w:sz w:val="18"/>
          <w:szCs w:val="18"/>
        </w:rPr>
        <w:t xml:space="preserve">Per il I e per il II modulo </w:t>
      </w:r>
      <w:r w:rsidRPr="00894EF3">
        <w:rPr>
          <w:rFonts w:eastAsia="Times"/>
          <w:sz w:val="18"/>
          <w:szCs w:val="18"/>
        </w:rPr>
        <w:t xml:space="preserve">per </w:t>
      </w:r>
      <w:r w:rsidRPr="00894EF3">
        <w:rPr>
          <w:rFonts w:eastAsia="Times"/>
          <w:color w:val="000000"/>
          <w:sz w:val="18"/>
          <w:szCs w:val="18"/>
        </w:rPr>
        <w:t xml:space="preserve">studenti </w:t>
      </w:r>
      <w:r w:rsidR="00446B48" w:rsidRPr="00894EF3">
        <w:rPr>
          <w:rFonts w:eastAsia="Times"/>
          <w:i/>
          <w:color w:val="000000"/>
          <w:sz w:val="18"/>
          <w:szCs w:val="18"/>
        </w:rPr>
        <w:t>che svolgono il project work</w:t>
      </w:r>
      <w:r w:rsidR="00446B48" w:rsidRPr="00894EF3">
        <w:rPr>
          <w:rFonts w:eastAsia="Times"/>
          <w:color w:val="000000"/>
          <w:sz w:val="18"/>
          <w:szCs w:val="18"/>
        </w:rPr>
        <w:t xml:space="preserve"> </w:t>
      </w:r>
    </w:p>
    <w:p w14:paraId="0000004E" w14:textId="77777777" w:rsidR="009D3A95" w:rsidRPr="00894EF3" w:rsidRDefault="00894EF3" w:rsidP="00894EF3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 w:hanging="284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>La bibliografia verrà indicata durante il corso</w:t>
      </w:r>
    </w:p>
    <w:p w14:paraId="0000004F" w14:textId="7B42C75C" w:rsidR="009D3A95" w:rsidRPr="00894EF3" w:rsidRDefault="00894EF3" w:rsidP="00894EF3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 w:hanging="284"/>
        <w:rPr>
          <w:rFonts w:eastAsia="Times"/>
          <w:color w:val="000000"/>
          <w:sz w:val="18"/>
          <w:szCs w:val="18"/>
        </w:rPr>
      </w:pPr>
      <w:r w:rsidRPr="00894EF3">
        <w:rPr>
          <w:rFonts w:eastAsia="Times"/>
          <w:color w:val="000000"/>
          <w:sz w:val="18"/>
          <w:szCs w:val="18"/>
        </w:rPr>
        <w:t xml:space="preserve">Materiale integrativo verrà reso disponibile nell’aula </w:t>
      </w:r>
      <w:proofErr w:type="spellStart"/>
      <w:r w:rsidR="001E31A7" w:rsidRPr="00894EF3">
        <w:rPr>
          <w:rFonts w:eastAsia="Times"/>
          <w:color w:val="000000"/>
          <w:sz w:val="18"/>
          <w:szCs w:val="18"/>
        </w:rPr>
        <w:t>B</w:t>
      </w:r>
      <w:r w:rsidRPr="00894EF3">
        <w:rPr>
          <w:rFonts w:eastAsia="Times"/>
          <w:color w:val="000000"/>
          <w:sz w:val="18"/>
          <w:szCs w:val="18"/>
        </w:rPr>
        <w:t>lackboard</w:t>
      </w:r>
      <w:proofErr w:type="spellEnd"/>
      <w:r w:rsidRPr="00894EF3">
        <w:rPr>
          <w:rFonts w:eastAsia="Times"/>
          <w:color w:val="000000"/>
          <w:sz w:val="18"/>
          <w:szCs w:val="18"/>
        </w:rPr>
        <w:t xml:space="preserve"> del docente.</w:t>
      </w:r>
    </w:p>
    <w:p w14:paraId="00000051" w14:textId="0A52E622" w:rsidR="009D3A95" w:rsidRPr="00894EF3" w:rsidRDefault="00894EF3" w:rsidP="00894EF3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rFonts w:eastAsia="Times"/>
          <w:i/>
          <w:color w:val="000000"/>
          <w:sz w:val="18"/>
          <w:szCs w:val="18"/>
        </w:rPr>
      </w:pPr>
      <w:r w:rsidRPr="00894EF3">
        <w:rPr>
          <w:rFonts w:eastAsia="Times"/>
          <w:sz w:val="18"/>
          <w:szCs w:val="18"/>
        </w:rPr>
        <w:t>S</w:t>
      </w:r>
      <w:r w:rsidRPr="00894EF3">
        <w:rPr>
          <w:rFonts w:eastAsia="Times"/>
          <w:color w:val="000000"/>
          <w:sz w:val="18"/>
          <w:szCs w:val="18"/>
        </w:rPr>
        <w:t xml:space="preserve">tudenti </w:t>
      </w:r>
      <w:r w:rsidR="00446B48" w:rsidRPr="00894EF3">
        <w:rPr>
          <w:rFonts w:eastAsia="Times"/>
          <w:i/>
          <w:color w:val="000000"/>
          <w:sz w:val="18"/>
          <w:szCs w:val="18"/>
        </w:rPr>
        <w:t>che non svolgono i</w:t>
      </w:r>
      <w:r w:rsidR="001E31A7" w:rsidRPr="00894EF3">
        <w:rPr>
          <w:rFonts w:eastAsia="Times"/>
          <w:i/>
          <w:color w:val="000000"/>
          <w:sz w:val="18"/>
          <w:szCs w:val="18"/>
        </w:rPr>
        <w:t>l</w:t>
      </w:r>
      <w:r w:rsidR="00446B48" w:rsidRPr="00894EF3">
        <w:rPr>
          <w:rFonts w:eastAsia="Times"/>
          <w:i/>
          <w:color w:val="000000"/>
          <w:sz w:val="18"/>
          <w:szCs w:val="18"/>
        </w:rPr>
        <w:t xml:space="preserve"> project work</w:t>
      </w:r>
    </w:p>
    <w:p w14:paraId="7BBB388B" w14:textId="1DA78712" w:rsidR="001E31A7" w:rsidRPr="00894EF3" w:rsidRDefault="00894EF3" w:rsidP="00894EF3">
      <w:pPr>
        <w:spacing w:line="240" w:lineRule="exact"/>
        <w:jc w:val="left"/>
        <w:rPr>
          <w:rFonts w:eastAsia="Times"/>
          <w:sz w:val="18"/>
          <w:szCs w:val="18"/>
        </w:rPr>
      </w:pPr>
      <w:r w:rsidRPr="000A7D9B">
        <w:rPr>
          <w:rFonts w:eastAsia="Times"/>
          <w:sz w:val="18"/>
          <w:szCs w:val="18"/>
          <w:lang w:val="en-US"/>
        </w:rPr>
        <w:t xml:space="preserve">K.L Keller, Strategic Brand Management, Pearson, 5th ed. 2020. </w:t>
      </w:r>
      <w:r w:rsidRPr="00894EF3">
        <w:rPr>
          <w:rFonts w:eastAsia="Times"/>
          <w:sz w:val="18"/>
          <w:szCs w:val="18"/>
        </w:rPr>
        <w:t>(</w:t>
      </w:r>
      <w:proofErr w:type="spellStart"/>
      <w:r w:rsidRPr="00894EF3">
        <w:rPr>
          <w:rFonts w:eastAsia="Times"/>
          <w:sz w:val="18"/>
          <w:szCs w:val="18"/>
        </w:rPr>
        <w:t>Introduction</w:t>
      </w:r>
      <w:proofErr w:type="spellEnd"/>
      <w:r w:rsidRPr="00894EF3">
        <w:rPr>
          <w:rFonts w:eastAsia="Times"/>
          <w:sz w:val="18"/>
          <w:szCs w:val="18"/>
        </w:rPr>
        <w:t>, 1, 2, 3, 4, 5, 7, 9, 10, 11, 12, 16)</w:t>
      </w:r>
      <w:r w:rsidR="000A7D9B">
        <w:rPr>
          <w:rFonts w:eastAsia="Times"/>
          <w:sz w:val="18"/>
          <w:szCs w:val="18"/>
        </w:rPr>
        <w:t xml:space="preserve"> </w:t>
      </w:r>
      <w:bookmarkStart w:id="2" w:name="_Hlk140133243"/>
      <w:bookmarkStart w:id="3" w:name="_Hlk141261349"/>
      <w:r w:rsidR="000A7D9B" w:rsidRPr="000A7D9B">
        <w:rPr>
          <w:rFonts w:eastAsia="Times"/>
          <w:sz w:val="18"/>
          <w:szCs w:val="18"/>
        </w:rPr>
        <w:fldChar w:fldCharType="begin"/>
      </w:r>
      <w:r w:rsidR="000A7D9B">
        <w:rPr>
          <w:rFonts w:eastAsia="Times"/>
          <w:sz w:val="18"/>
          <w:szCs w:val="18"/>
        </w:rPr>
        <w:instrText>HYPERLINK "https://librerie.unicatt.it/scheda-libro/keller/strategic-brand-management-9781292314969-710391.html"</w:instrText>
      </w:r>
      <w:r w:rsidR="000A7D9B" w:rsidRPr="000A7D9B">
        <w:rPr>
          <w:rFonts w:eastAsia="Times"/>
          <w:sz w:val="18"/>
          <w:szCs w:val="18"/>
        </w:rPr>
      </w:r>
      <w:r w:rsidR="000A7D9B" w:rsidRPr="000A7D9B">
        <w:rPr>
          <w:rFonts w:eastAsia="Times"/>
          <w:sz w:val="18"/>
          <w:szCs w:val="18"/>
        </w:rPr>
        <w:fldChar w:fldCharType="separate"/>
      </w:r>
      <w:r w:rsidR="000A7D9B" w:rsidRPr="000A7D9B">
        <w:rPr>
          <w:rStyle w:val="Collegamentoipertestuale"/>
          <w:rFonts w:eastAsia="Times"/>
          <w:i/>
          <w:sz w:val="18"/>
          <w:szCs w:val="18"/>
        </w:rPr>
        <w:t>Acquista da VP</w:t>
      </w:r>
      <w:r w:rsidR="000A7D9B" w:rsidRPr="000A7D9B">
        <w:rPr>
          <w:rFonts w:eastAsia="Times"/>
          <w:sz w:val="18"/>
          <w:szCs w:val="18"/>
        </w:rPr>
        <w:fldChar w:fldCharType="end"/>
      </w:r>
      <w:bookmarkEnd w:id="2"/>
      <w:bookmarkEnd w:id="3"/>
    </w:p>
    <w:p w14:paraId="40DBBA15" w14:textId="452C3132" w:rsidR="00894EF3" w:rsidRDefault="001E31A7" w:rsidP="00894EF3">
      <w:pPr>
        <w:spacing w:line="240" w:lineRule="exact"/>
        <w:jc w:val="lef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>R. Fiocca-R.C. Gambetti-C. Solerio, Brand Experience. Relazioni impresa-cliente e valore di marca, Franco Angeli, Milano, 2015.</w:t>
      </w:r>
      <w:r w:rsidR="00780B28" w:rsidRPr="00894EF3">
        <w:rPr>
          <w:rFonts w:eastAsia="Times"/>
          <w:sz w:val="18"/>
          <w:szCs w:val="18"/>
        </w:rPr>
        <w:t xml:space="preserve"> (Capitoli 3, 4, 5,6)</w:t>
      </w:r>
      <w:r w:rsidR="000A7D9B">
        <w:rPr>
          <w:rFonts w:eastAsia="Times"/>
          <w:sz w:val="18"/>
          <w:szCs w:val="18"/>
        </w:rPr>
        <w:t xml:space="preserve"> </w:t>
      </w:r>
      <w:hyperlink r:id="rId8" w:history="1">
        <w:r w:rsidR="000A7D9B" w:rsidRPr="000A7D9B">
          <w:rPr>
            <w:rStyle w:val="Collegamentoipertestuale"/>
            <w:rFonts w:eastAsia="Times"/>
            <w:i/>
            <w:sz w:val="18"/>
            <w:szCs w:val="18"/>
          </w:rPr>
          <w:t>Acquista da VP</w:t>
        </w:r>
      </w:hyperlink>
    </w:p>
    <w:p w14:paraId="00000054" w14:textId="02A76838" w:rsidR="009D3A95" w:rsidRPr="00894EF3" w:rsidRDefault="00894EF3" w:rsidP="00894EF3">
      <w:pPr>
        <w:spacing w:line="240" w:lineRule="exact"/>
        <w:jc w:val="lef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 xml:space="preserve">R.C. Gambetti-S. </w:t>
      </w:r>
      <w:proofErr w:type="spellStart"/>
      <w:r w:rsidRPr="000A7D9B">
        <w:rPr>
          <w:rFonts w:eastAsia="Times"/>
          <w:sz w:val="18"/>
          <w:szCs w:val="18"/>
        </w:rPr>
        <w:t>Quigley</w:t>
      </w:r>
      <w:proofErr w:type="spellEnd"/>
      <w:r w:rsidRPr="000A7D9B">
        <w:rPr>
          <w:rFonts w:eastAsia="Times"/>
          <w:sz w:val="18"/>
          <w:szCs w:val="18"/>
        </w:rPr>
        <w:t xml:space="preserve"> (</w:t>
      </w:r>
      <w:proofErr w:type="spellStart"/>
      <w:r w:rsidRPr="000A7D9B">
        <w:rPr>
          <w:rFonts w:eastAsia="Times"/>
          <w:sz w:val="18"/>
          <w:szCs w:val="18"/>
        </w:rPr>
        <w:t>eds</w:t>
      </w:r>
      <w:proofErr w:type="spellEnd"/>
      <w:r w:rsidRPr="000A7D9B">
        <w:rPr>
          <w:rFonts w:eastAsia="Times"/>
          <w:sz w:val="18"/>
          <w:szCs w:val="18"/>
        </w:rPr>
        <w:t xml:space="preserve">.), </w:t>
      </w:r>
      <w:proofErr w:type="spellStart"/>
      <w:r w:rsidRPr="000A7D9B">
        <w:rPr>
          <w:rFonts w:eastAsia="Times"/>
          <w:sz w:val="18"/>
          <w:szCs w:val="18"/>
        </w:rPr>
        <w:t>Managing</w:t>
      </w:r>
      <w:proofErr w:type="spellEnd"/>
      <w:r w:rsidRPr="000A7D9B">
        <w:rPr>
          <w:rFonts w:eastAsia="Times"/>
          <w:sz w:val="18"/>
          <w:szCs w:val="18"/>
        </w:rPr>
        <w:t xml:space="preserve"> corporate </w:t>
      </w:r>
      <w:proofErr w:type="spellStart"/>
      <w:r w:rsidRPr="000A7D9B">
        <w:rPr>
          <w:rFonts w:eastAsia="Times"/>
          <w:sz w:val="18"/>
          <w:szCs w:val="18"/>
        </w:rPr>
        <w:t>communication</w:t>
      </w:r>
      <w:proofErr w:type="spellEnd"/>
      <w:r w:rsidRPr="000A7D9B">
        <w:rPr>
          <w:rFonts w:eastAsia="Times"/>
          <w:sz w:val="18"/>
          <w:szCs w:val="18"/>
        </w:rPr>
        <w:t xml:space="preserve">: a cross-cultural </w:t>
      </w:r>
      <w:proofErr w:type="spellStart"/>
      <w:r w:rsidRPr="000A7D9B">
        <w:rPr>
          <w:rFonts w:eastAsia="Times"/>
          <w:sz w:val="18"/>
          <w:szCs w:val="18"/>
        </w:rPr>
        <w:t>approach</w:t>
      </w:r>
      <w:proofErr w:type="spellEnd"/>
      <w:r w:rsidRPr="000A7D9B">
        <w:rPr>
          <w:rFonts w:eastAsia="Times"/>
          <w:sz w:val="18"/>
          <w:szCs w:val="18"/>
        </w:rPr>
        <w:t xml:space="preserve">, </w:t>
      </w:r>
      <w:proofErr w:type="spellStart"/>
      <w:r w:rsidRPr="000A7D9B">
        <w:rPr>
          <w:rFonts w:eastAsia="Times"/>
          <w:sz w:val="18"/>
          <w:szCs w:val="18"/>
        </w:rPr>
        <w:t>Palgrave</w:t>
      </w:r>
      <w:proofErr w:type="spellEnd"/>
      <w:r w:rsidRPr="000A7D9B">
        <w:rPr>
          <w:rFonts w:eastAsia="Times"/>
          <w:sz w:val="18"/>
          <w:szCs w:val="18"/>
        </w:rPr>
        <w:t xml:space="preserve"> McMillan, London, 2012 (Capitoli 1, 2, 9, 10). </w:t>
      </w:r>
      <w:hyperlink r:id="rId9" w:history="1">
        <w:r w:rsidR="000A7D9B" w:rsidRPr="000A7D9B">
          <w:rPr>
            <w:rStyle w:val="Collegamentoipertestuale"/>
            <w:rFonts w:eastAsia="Times"/>
            <w:i/>
            <w:sz w:val="18"/>
            <w:szCs w:val="18"/>
          </w:rPr>
          <w:t>Acquista da VP</w:t>
        </w:r>
      </w:hyperlink>
    </w:p>
    <w:p w14:paraId="00000059" w14:textId="2B2A7CBC" w:rsidR="009D3A95" w:rsidRPr="00894EF3" w:rsidRDefault="00894EF3" w:rsidP="000A7D9B">
      <w:pPr>
        <w:spacing w:line="240" w:lineRule="exact"/>
        <w:ind w:left="280" w:hanging="280"/>
        <w:rPr>
          <w:rFonts w:eastAsia="Times"/>
          <w:sz w:val="18"/>
          <w:szCs w:val="18"/>
        </w:rPr>
      </w:pPr>
      <w:r w:rsidRPr="00894EF3">
        <w:rPr>
          <w:rFonts w:eastAsia="Times"/>
          <w:smallCaps/>
          <w:sz w:val="18"/>
          <w:szCs w:val="18"/>
        </w:rPr>
        <w:t>A. Detto, G. Ghini, S. Vitulli,</w:t>
      </w:r>
      <w:r w:rsidRPr="00894EF3">
        <w:rPr>
          <w:rFonts w:eastAsia="Times"/>
          <w:i/>
          <w:sz w:val="18"/>
          <w:szCs w:val="18"/>
        </w:rPr>
        <w:t xml:space="preserve"> CEO branding nella </w:t>
      </w:r>
      <w:proofErr w:type="spellStart"/>
      <w:r w:rsidRPr="00894EF3">
        <w:rPr>
          <w:rFonts w:eastAsia="Times"/>
          <w:i/>
          <w:sz w:val="18"/>
          <w:szCs w:val="18"/>
        </w:rPr>
        <w:t>reputation</w:t>
      </w:r>
      <w:proofErr w:type="spellEnd"/>
      <w:r w:rsidRPr="00894EF3">
        <w:rPr>
          <w:rFonts w:eastAsia="Times"/>
          <w:i/>
          <w:sz w:val="18"/>
          <w:szCs w:val="18"/>
        </w:rPr>
        <w:t xml:space="preserve"> economy,</w:t>
      </w:r>
      <w:r w:rsidRPr="00894EF3">
        <w:rPr>
          <w:rFonts w:eastAsia="Times"/>
          <w:sz w:val="18"/>
          <w:szCs w:val="18"/>
        </w:rPr>
        <w:t xml:space="preserve"> EGEA, Milano, 2021</w:t>
      </w:r>
      <w:r w:rsidR="000A7D9B">
        <w:rPr>
          <w:rFonts w:eastAsia="Times"/>
          <w:sz w:val="18"/>
          <w:szCs w:val="18"/>
        </w:rPr>
        <w:t xml:space="preserve"> </w:t>
      </w:r>
      <w:hyperlink r:id="rId10" w:history="1">
        <w:r w:rsidR="000A7D9B" w:rsidRPr="000A7D9B">
          <w:rPr>
            <w:rStyle w:val="Collegamentoipertestuale"/>
            <w:rFonts w:eastAsia="Times"/>
            <w:i/>
            <w:sz w:val="18"/>
            <w:szCs w:val="18"/>
          </w:rPr>
          <w:t>Acquista da VP</w:t>
        </w:r>
      </w:hyperlink>
    </w:p>
    <w:p w14:paraId="0000005B" w14:textId="19A77F7F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sz w:val="18"/>
          <w:szCs w:val="18"/>
        </w:rPr>
        <w:t>Materiale integrativo</w:t>
      </w:r>
      <w:r w:rsidRPr="00894EF3">
        <w:rPr>
          <w:smallCaps/>
          <w:sz w:val="18"/>
          <w:szCs w:val="18"/>
        </w:rPr>
        <w:t xml:space="preserve"> </w:t>
      </w:r>
      <w:r w:rsidRPr="00894EF3">
        <w:rPr>
          <w:sz w:val="18"/>
          <w:szCs w:val="18"/>
        </w:rPr>
        <w:t xml:space="preserve">obbligatorio verrà reso disponibile nell’aula </w:t>
      </w:r>
      <w:proofErr w:type="spellStart"/>
      <w:r w:rsidR="001875B5" w:rsidRPr="00894EF3">
        <w:rPr>
          <w:sz w:val="18"/>
          <w:szCs w:val="18"/>
        </w:rPr>
        <w:t>B</w:t>
      </w:r>
      <w:r w:rsidRPr="00894EF3">
        <w:rPr>
          <w:sz w:val="18"/>
          <w:szCs w:val="18"/>
        </w:rPr>
        <w:t>lackboard</w:t>
      </w:r>
      <w:proofErr w:type="spellEnd"/>
      <w:r w:rsidRPr="00894EF3">
        <w:rPr>
          <w:sz w:val="18"/>
          <w:szCs w:val="18"/>
        </w:rPr>
        <w:t xml:space="preserve"> delle docenti.</w:t>
      </w:r>
    </w:p>
    <w:p w14:paraId="0000005C" w14:textId="6C75DAF6" w:rsidR="009D3A95" w:rsidRPr="00EF5CC8" w:rsidRDefault="001875B5">
      <w:pPr>
        <w:spacing w:before="240" w:after="120" w:line="220" w:lineRule="auto"/>
        <w:rPr>
          <w:b/>
          <w:i/>
          <w:szCs w:val="20"/>
        </w:rPr>
      </w:pPr>
      <w:r w:rsidRPr="00EF5CC8">
        <w:rPr>
          <w:b/>
          <w:i/>
          <w:szCs w:val="20"/>
        </w:rPr>
        <w:t>DIDATTICA DEL CORSO</w:t>
      </w:r>
    </w:p>
    <w:p w14:paraId="0000005D" w14:textId="77777777" w:rsidR="009D3A95" w:rsidRPr="00894EF3" w:rsidRDefault="00894EF3" w:rsidP="001875B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/>
          <w:i/>
          <w:sz w:val="18"/>
          <w:szCs w:val="18"/>
        </w:rPr>
      </w:pPr>
      <w:r w:rsidRPr="00894EF3">
        <w:rPr>
          <w:rFonts w:eastAsia="Times"/>
          <w:color w:val="000000"/>
          <w:sz w:val="18"/>
          <w:szCs w:val="18"/>
        </w:rPr>
        <w:t>Lezioni interattive, presentazione di case-studies, svolgimento di project work a gruppi e organizzazione di interventi di esperti esterni.</w:t>
      </w:r>
    </w:p>
    <w:p w14:paraId="0000005F" w14:textId="77777777" w:rsidR="009D3A95" w:rsidRPr="00EF5CC8" w:rsidRDefault="00894EF3">
      <w:pPr>
        <w:spacing w:before="240" w:after="120" w:line="220" w:lineRule="auto"/>
        <w:rPr>
          <w:rFonts w:eastAsia="Times"/>
          <w:b/>
          <w:i/>
          <w:szCs w:val="20"/>
        </w:rPr>
      </w:pPr>
      <w:r w:rsidRPr="00EF5CC8">
        <w:rPr>
          <w:rFonts w:eastAsia="Times"/>
          <w:b/>
          <w:i/>
          <w:szCs w:val="20"/>
        </w:rPr>
        <w:t>METODO E CRITERI DI VALUTAZIONE</w:t>
      </w:r>
    </w:p>
    <w:p w14:paraId="00000060" w14:textId="00CAD6AF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 xml:space="preserve">Il voto finale </w:t>
      </w:r>
      <w:r w:rsidRPr="00894EF3">
        <w:rPr>
          <w:rFonts w:eastAsia="Times"/>
          <w:i/>
          <w:sz w:val="18"/>
          <w:szCs w:val="18"/>
        </w:rPr>
        <w:t xml:space="preserve">per gli studenti </w:t>
      </w:r>
      <w:r w:rsidR="00446B48" w:rsidRPr="00894EF3">
        <w:rPr>
          <w:rFonts w:eastAsia="Times"/>
          <w:i/>
          <w:sz w:val="18"/>
          <w:szCs w:val="18"/>
        </w:rPr>
        <w:t>che svolgono il project work</w:t>
      </w:r>
      <w:r w:rsidRPr="00894EF3">
        <w:rPr>
          <w:rFonts w:eastAsia="Times"/>
          <w:i/>
          <w:sz w:val="18"/>
          <w:szCs w:val="18"/>
        </w:rPr>
        <w:t xml:space="preserve"> </w:t>
      </w:r>
      <w:r w:rsidRPr="00894EF3">
        <w:rPr>
          <w:rFonts w:eastAsia="Times"/>
          <w:sz w:val="18"/>
          <w:szCs w:val="18"/>
        </w:rPr>
        <w:t>sarà ripartito nel seguente modo:</w:t>
      </w:r>
    </w:p>
    <w:p w14:paraId="00000062" w14:textId="77777777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>Esercitazione di gruppo: 40% voto finale. Il voto verrà ripartito tra le docenti ed eventuali guest speaker aziendali, che parteciperanno sia all’elaborazione e presentazione dei brief che alla valutazione dei progetti.</w:t>
      </w:r>
    </w:p>
    <w:p w14:paraId="00000063" w14:textId="44520E9F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>Esame finale scritto – due domande aperte (30%+30%) sui temi del primo e del secondo modulo: 60% del voto finale.</w:t>
      </w:r>
    </w:p>
    <w:p w14:paraId="00000065" w14:textId="3D0E9420" w:rsidR="009D3A95" w:rsidRPr="00894EF3" w:rsidRDefault="00894EF3" w:rsidP="00894EF3">
      <w:pPr>
        <w:spacing w:before="120"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lastRenderedPageBreak/>
        <w:t xml:space="preserve">I criteri di valutazione del progetto </w:t>
      </w:r>
      <w:r w:rsidR="00EF5CC8" w:rsidRPr="00894EF3">
        <w:rPr>
          <w:rFonts w:eastAsia="Times"/>
          <w:sz w:val="18"/>
          <w:szCs w:val="18"/>
        </w:rPr>
        <w:t>prenderanno in considerazione</w:t>
      </w:r>
      <w:r w:rsidRPr="00894EF3">
        <w:rPr>
          <w:rFonts w:eastAsia="Times"/>
          <w:sz w:val="18"/>
          <w:szCs w:val="18"/>
        </w:rPr>
        <w:t xml:space="preserve"> creatività, fattibilità e coerenza con il brief.</w:t>
      </w:r>
    </w:p>
    <w:p w14:paraId="00000066" w14:textId="77777777" w:rsidR="009D3A95" w:rsidRPr="00894EF3" w:rsidRDefault="00894EF3" w:rsidP="00894EF3">
      <w:pPr>
        <w:spacing w:before="120"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>L’esame finale prevede una valutazione basata - oltre che sull’acquisizione dei contenuti di base, sulla proprietà di linguaggio e sulla conoscenza terminologica dimostrata - sulla elaborazione critica e sulla prospettiva critica sui contenuti stessi (nessi concepiti e sviluppo dei temi e dei casi) fornita in sede di risposta alle domande.</w:t>
      </w:r>
    </w:p>
    <w:p w14:paraId="5FE3BAF6" w14:textId="005E0F6D" w:rsidR="00EF5CC8" w:rsidRPr="00894EF3" w:rsidRDefault="00894EF3" w:rsidP="00894EF3">
      <w:pPr>
        <w:spacing w:line="240" w:lineRule="exact"/>
        <w:jc w:val="lef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 xml:space="preserve">Voto del corso </w:t>
      </w:r>
      <w:r w:rsidRPr="00894EF3">
        <w:rPr>
          <w:rFonts w:eastAsia="Times"/>
          <w:i/>
          <w:sz w:val="18"/>
          <w:szCs w:val="18"/>
        </w:rPr>
        <w:t xml:space="preserve">per gli studenti </w:t>
      </w:r>
      <w:r w:rsidR="00A37A06" w:rsidRPr="00894EF3">
        <w:rPr>
          <w:rFonts w:eastAsia="Times"/>
          <w:i/>
          <w:sz w:val="18"/>
          <w:szCs w:val="18"/>
        </w:rPr>
        <w:t>che non svolgono il project work</w:t>
      </w:r>
      <w:r w:rsidRPr="00894EF3">
        <w:rPr>
          <w:rFonts w:eastAsia="Times"/>
          <w:i/>
          <w:sz w:val="18"/>
          <w:szCs w:val="18"/>
        </w:rPr>
        <w:t xml:space="preserve"> </w:t>
      </w:r>
      <w:r w:rsidR="001875B5" w:rsidRPr="00894EF3">
        <w:rPr>
          <w:rFonts w:eastAsia="Times"/>
          <w:i/>
          <w:sz w:val="18"/>
          <w:szCs w:val="18"/>
        </w:rPr>
        <w:br/>
      </w:r>
      <w:r w:rsidRPr="00894EF3">
        <w:rPr>
          <w:rFonts w:eastAsia="Times"/>
          <w:sz w:val="18"/>
          <w:szCs w:val="18"/>
        </w:rPr>
        <w:t xml:space="preserve">Per chi non avesse svolto esercitazione né esame finale è previsto un esame normalmente svolto per iscritto – quattro domande aperte (ciascuna con un valore del 25%) su tutti i testi in bibliografia e materiali indicati dalle docenti e pubblicati in </w:t>
      </w:r>
      <w:proofErr w:type="spellStart"/>
      <w:r w:rsidRPr="00894EF3">
        <w:rPr>
          <w:rFonts w:eastAsia="Times"/>
          <w:sz w:val="18"/>
          <w:szCs w:val="18"/>
        </w:rPr>
        <w:t>BlackBoard</w:t>
      </w:r>
      <w:proofErr w:type="spellEnd"/>
      <w:r w:rsidRPr="00894EF3">
        <w:rPr>
          <w:rFonts w:eastAsia="Times"/>
          <w:sz w:val="18"/>
          <w:szCs w:val="18"/>
        </w:rPr>
        <w:t xml:space="preserve"> – volto a stabilire sia la conoscenza approfondita dei testi che la capacità di elaborazione critica dei contenuti.</w:t>
      </w:r>
    </w:p>
    <w:p w14:paraId="42A88179" w14:textId="77777777" w:rsidR="001E31A7" w:rsidRDefault="00894EF3" w:rsidP="001875B5">
      <w:pPr>
        <w:spacing w:before="240" w:after="120" w:line="240" w:lineRule="auto"/>
        <w:jc w:val="left"/>
        <w:rPr>
          <w:b/>
          <w:i/>
          <w:szCs w:val="20"/>
        </w:rPr>
      </w:pPr>
      <w:r w:rsidRPr="00EF5CC8">
        <w:rPr>
          <w:b/>
          <w:i/>
          <w:szCs w:val="20"/>
        </w:rPr>
        <w:t>AVVERTENZE E PREREQUISITI</w:t>
      </w:r>
    </w:p>
    <w:p w14:paraId="0000006C" w14:textId="1ED0931D" w:rsidR="009D3A95" w:rsidRPr="00894EF3" w:rsidRDefault="00894EF3" w:rsidP="00894EF3">
      <w:pPr>
        <w:spacing w:before="240" w:after="120" w:line="240" w:lineRule="exact"/>
        <w:rPr>
          <w:b/>
          <w:i/>
          <w:sz w:val="18"/>
          <w:szCs w:val="18"/>
        </w:rPr>
      </w:pPr>
      <w:r w:rsidRPr="00894EF3">
        <w:rPr>
          <w:rFonts w:eastAsia="Times"/>
          <w:color w:val="000000"/>
          <w:sz w:val="18"/>
          <w:szCs w:val="18"/>
        </w:rPr>
        <w:t>Si consiglia vivamente la frequenza al corso, attraverso una partecipazione attiva alle lezioni.</w:t>
      </w:r>
    </w:p>
    <w:p w14:paraId="0000006E" w14:textId="77777777" w:rsidR="009D3A95" w:rsidRPr="00894EF3" w:rsidRDefault="00894EF3" w:rsidP="00894EF3">
      <w:pPr>
        <w:spacing w:line="240" w:lineRule="exact"/>
        <w:rPr>
          <w:sz w:val="18"/>
          <w:szCs w:val="18"/>
        </w:rPr>
      </w:pPr>
      <w:r w:rsidRPr="00894EF3">
        <w:rPr>
          <w:sz w:val="18"/>
          <w:szCs w:val="18"/>
        </w:rPr>
        <w:t>L’insegnamento non necessita di prerequisiti relativi ai contenuti. Si presuppone comunque interesse e curiosità intellettuale per le tematiche del corso.</w:t>
      </w:r>
    </w:p>
    <w:p w14:paraId="00000070" w14:textId="77777777" w:rsidR="009D3A95" w:rsidRPr="00894EF3" w:rsidRDefault="00894EF3" w:rsidP="00894EF3">
      <w:pPr>
        <w:spacing w:line="240" w:lineRule="exact"/>
        <w:rPr>
          <w:sz w:val="18"/>
          <w:szCs w:val="18"/>
        </w:rPr>
      </w:pPr>
      <w:r w:rsidRPr="00894EF3">
        <w:rPr>
          <w:sz w:val="18"/>
          <w:szCs w:val="18"/>
        </w:rPr>
        <w:t>Gli studenti interessati ad una tesi sugli argomenti del corso sono invitati a contattare via mail il docente di riferimento.</w:t>
      </w:r>
    </w:p>
    <w:p w14:paraId="00000072" w14:textId="3CAE17C9" w:rsidR="009D3A95" w:rsidRPr="00894EF3" w:rsidRDefault="00894EF3" w:rsidP="00894EF3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rFonts w:eastAsia="Times"/>
          <w:i/>
          <w:color w:val="000000"/>
          <w:sz w:val="18"/>
          <w:szCs w:val="18"/>
        </w:rPr>
      </w:pPr>
      <w:r w:rsidRPr="00894EF3">
        <w:rPr>
          <w:rFonts w:eastAsia="Times"/>
          <w:i/>
          <w:color w:val="000000"/>
          <w:sz w:val="18"/>
          <w:szCs w:val="18"/>
        </w:rPr>
        <w:t>Orario e luogo di ricevimento degli studenti</w:t>
      </w:r>
    </w:p>
    <w:p w14:paraId="00000074" w14:textId="77777777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 xml:space="preserve">Il Prof. Stefania </w:t>
      </w:r>
      <w:proofErr w:type="spellStart"/>
      <w:r w:rsidRPr="00894EF3">
        <w:rPr>
          <w:rFonts w:eastAsia="Times"/>
          <w:sz w:val="18"/>
          <w:szCs w:val="18"/>
        </w:rPr>
        <w:t>Boleso</w:t>
      </w:r>
      <w:proofErr w:type="spellEnd"/>
      <w:r w:rsidRPr="00894EF3">
        <w:rPr>
          <w:rFonts w:eastAsia="Times"/>
          <w:sz w:val="18"/>
          <w:szCs w:val="18"/>
        </w:rPr>
        <w:t xml:space="preserve"> riceve gli studenti previo appuntamento da concordarsi via mail, scrivendo a </w:t>
      </w:r>
      <w:hyperlink r:id="rId11">
        <w:r w:rsidRPr="00894EF3">
          <w:rPr>
            <w:rFonts w:eastAsia="Times"/>
            <w:color w:val="1155CC"/>
            <w:sz w:val="18"/>
            <w:szCs w:val="18"/>
            <w:u w:val="single"/>
          </w:rPr>
          <w:t>stefania.boleso@unicatt.it</w:t>
        </w:r>
      </w:hyperlink>
    </w:p>
    <w:p w14:paraId="00000076" w14:textId="77777777" w:rsidR="009D3A95" w:rsidRPr="00894EF3" w:rsidRDefault="00894EF3" w:rsidP="00894EF3">
      <w:pPr>
        <w:spacing w:line="240" w:lineRule="exact"/>
        <w:rPr>
          <w:rFonts w:eastAsia="Times"/>
          <w:sz w:val="18"/>
          <w:szCs w:val="18"/>
        </w:rPr>
      </w:pPr>
      <w:r w:rsidRPr="00894EF3">
        <w:rPr>
          <w:rFonts w:eastAsia="Times"/>
          <w:sz w:val="18"/>
          <w:szCs w:val="18"/>
        </w:rPr>
        <w:t xml:space="preserve">Il Prof. Stefania Micaela Vitulli riceve gli studenti previo appuntamento obbligatorio fissato per e-mail: </w:t>
      </w:r>
      <w:hyperlink r:id="rId12">
        <w:r w:rsidRPr="00894EF3">
          <w:rPr>
            <w:rFonts w:eastAsia="Times"/>
            <w:color w:val="1155CC"/>
            <w:sz w:val="18"/>
            <w:szCs w:val="18"/>
            <w:u w:val="single"/>
          </w:rPr>
          <w:t>stefania.vitulli@unicatt.it</w:t>
        </w:r>
      </w:hyperlink>
    </w:p>
    <w:sectPr w:rsidR="009D3A95" w:rsidRPr="00894EF3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0D60" w14:textId="77777777" w:rsidR="00035C2B" w:rsidRDefault="00035C2B">
      <w:pPr>
        <w:spacing w:line="240" w:lineRule="auto"/>
      </w:pPr>
      <w:r>
        <w:separator/>
      </w:r>
    </w:p>
  </w:endnote>
  <w:endnote w:type="continuationSeparator" w:id="0">
    <w:p w14:paraId="47972A76" w14:textId="77777777" w:rsidR="00035C2B" w:rsidRDefault="00035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ADC" w14:textId="77777777" w:rsidR="00035C2B" w:rsidRDefault="00035C2B">
      <w:pPr>
        <w:spacing w:line="240" w:lineRule="auto"/>
      </w:pPr>
      <w:r>
        <w:separator/>
      </w:r>
    </w:p>
  </w:footnote>
  <w:footnote w:type="continuationSeparator" w:id="0">
    <w:p w14:paraId="2F47CCFD" w14:textId="77777777" w:rsidR="00035C2B" w:rsidRDefault="00035C2B">
      <w:pPr>
        <w:spacing w:line="240" w:lineRule="auto"/>
      </w:pPr>
      <w:r>
        <w:continuationSeparator/>
      </w:r>
    </w:p>
  </w:footnote>
  <w:footnote w:id="1">
    <w:p w14:paraId="6D744FE8" w14:textId="5D6CB4D5" w:rsidR="000A7D9B" w:rsidRPr="000A7D9B" w:rsidRDefault="000A7D9B" w:rsidP="000A7D9B">
      <w:pPr>
        <w:rPr>
          <w:rFonts w:eastAsia="Times New Roman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eastAsia="Times New Roman"/>
          <w:sz w:val="16"/>
          <w:szCs w:val="16"/>
          <w:lang w:eastAsia="it-IT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DB4"/>
    <w:multiLevelType w:val="hybridMultilevel"/>
    <w:tmpl w:val="706C55C0"/>
    <w:lvl w:ilvl="0" w:tplc="9ABEF08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F8407C"/>
    <w:multiLevelType w:val="hybridMultilevel"/>
    <w:tmpl w:val="3678F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609"/>
    <w:multiLevelType w:val="hybridMultilevel"/>
    <w:tmpl w:val="491C3060"/>
    <w:lvl w:ilvl="0" w:tplc="9ABEF08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F1452F5"/>
    <w:multiLevelType w:val="hybridMultilevel"/>
    <w:tmpl w:val="43BABABA"/>
    <w:lvl w:ilvl="0" w:tplc="E976F01C">
      <w:numFmt w:val="bullet"/>
      <w:lvlText w:val="·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9ABEF0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E1CC6"/>
    <w:multiLevelType w:val="multilevel"/>
    <w:tmpl w:val="34423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06DFD"/>
    <w:multiLevelType w:val="hybridMultilevel"/>
    <w:tmpl w:val="72B85F8E"/>
    <w:lvl w:ilvl="0" w:tplc="9ABEF08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68407045">
    <w:abstractNumId w:val="4"/>
  </w:num>
  <w:num w:numId="2" w16cid:durableId="356127268">
    <w:abstractNumId w:val="1"/>
  </w:num>
  <w:num w:numId="3" w16cid:durableId="55666287">
    <w:abstractNumId w:val="3"/>
  </w:num>
  <w:num w:numId="4" w16cid:durableId="546837481">
    <w:abstractNumId w:val="0"/>
  </w:num>
  <w:num w:numId="5" w16cid:durableId="1262496385">
    <w:abstractNumId w:val="5"/>
  </w:num>
  <w:num w:numId="6" w16cid:durableId="173601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95"/>
    <w:rsid w:val="00035C2B"/>
    <w:rsid w:val="000A7D9B"/>
    <w:rsid w:val="001875B5"/>
    <w:rsid w:val="001E31A7"/>
    <w:rsid w:val="00446B48"/>
    <w:rsid w:val="00780B28"/>
    <w:rsid w:val="00894EF3"/>
    <w:rsid w:val="009D3A95"/>
    <w:rsid w:val="00A37A06"/>
    <w:rsid w:val="00D8231B"/>
    <w:rsid w:val="00E83386"/>
    <w:rsid w:val="00E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E1FA"/>
  <w15:docId w15:val="{2BF632C2-79EF-4044-AA30-B90FD602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727"/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141BA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41BA7"/>
    <w:rPr>
      <w:rFonts w:ascii="Times" w:hAnsi="Times"/>
      <w:smallCaps/>
      <w:noProof/>
      <w:sz w:val="18"/>
    </w:rPr>
  </w:style>
  <w:style w:type="paragraph" w:customStyle="1" w:styleId="Corpodeltesto21">
    <w:name w:val="Corpo del testo 21"/>
    <w:basedOn w:val="Normale"/>
    <w:rsid w:val="00F0200B"/>
    <w:pPr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52C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64E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264E9"/>
  </w:style>
  <w:style w:type="character" w:customStyle="1" w:styleId="Testo2Carattere">
    <w:name w:val="Testo 2 Carattere"/>
    <w:link w:val="Testo2"/>
    <w:rsid w:val="006264E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25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3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8253A"/>
    <w:rPr>
      <w:vertAlign w:val="superscript"/>
    </w:rPr>
  </w:style>
  <w:style w:type="character" w:styleId="Collegamentoipertestuale">
    <w:name w:val="Hyperlink"/>
    <w:basedOn w:val="Carpredefinitoparagrafo"/>
    <w:unhideWhenUsed/>
    <w:rsid w:val="0078253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-chiara-solerio-rossella-chiara-gambetti/brand-experience-relazioni-impresa-cliente-e-valore-di-marca-9788891728920-23337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ania.vitul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a.boles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essandro-detto-gabriele-ghini-stefania-micaela-vitulli/ceo-branding-nella-reputation-economy-9788823838000-6979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BcSyyo8QpOSacpZGzejo81zIDA==">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11</cp:revision>
  <dcterms:created xsi:type="dcterms:W3CDTF">2023-05-15T17:24:00Z</dcterms:created>
  <dcterms:modified xsi:type="dcterms:W3CDTF">2023-07-26T09:17:00Z</dcterms:modified>
</cp:coreProperties>
</file>