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7AE5" w14:textId="77777777" w:rsidR="002D5E17" w:rsidRDefault="00913E1E" w:rsidP="002D5E17">
      <w:pPr>
        <w:pStyle w:val="Titolo1"/>
      </w:pPr>
      <w:r>
        <w:t>Diritto del lavoro</w:t>
      </w:r>
    </w:p>
    <w:p w14:paraId="2DF0A0B3" w14:textId="2EA2A692" w:rsidR="00913E1E" w:rsidRDefault="009A4513" w:rsidP="00913E1E">
      <w:pPr>
        <w:pStyle w:val="Titolo2"/>
      </w:pPr>
      <w:r>
        <w:t>Prof. Mirko Altimari</w:t>
      </w:r>
    </w:p>
    <w:p w14:paraId="0351B006" w14:textId="77777777" w:rsidR="00913E1E" w:rsidRDefault="00913E1E" w:rsidP="00913E1E">
      <w:pPr>
        <w:spacing w:before="240" w:after="120" w:line="240" w:lineRule="exact"/>
        <w:rPr>
          <w:b/>
          <w:sz w:val="18"/>
        </w:rPr>
      </w:pPr>
      <w:r>
        <w:rPr>
          <w:b/>
          <w:i/>
          <w:sz w:val="18"/>
        </w:rPr>
        <w:t>OBIETTIVO DEL CORSO E RISULTATI DI APPRENDIMENTO ATTESI</w:t>
      </w:r>
    </w:p>
    <w:p w14:paraId="6FDA841C" w14:textId="4108B864" w:rsidR="00913E1E" w:rsidRDefault="00913E1E" w:rsidP="002131E4">
      <w:pPr>
        <w:spacing w:line="240" w:lineRule="exact"/>
      </w:pPr>
      <w:r>
        <w:t xml:space="preserve">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w:t>
      </w:r>
      <w:r w:rsidR="009F47C6">
        <w:t xml:space="preserve">precipuo </w:t>
      </w:r>
      <w:r>
        <w:t>contesto degli studi del proprio percorso formativo.</w:t>
      </w:r>
    </w:p>
    <w:p w14:paraId="2D0B0D47" w14:textId="77777777" w:rsidR="00913E1E" w:rsidRDefault="00913E1E" w:rsidP="002131E4">
      <w:pPr>
        <w:spacing w:line="240" w:lineRule="exact"/>
      </w:pPr>
      <w:r>
        <w:t>Al termine lo studente:</w:t>
      </w:r>
    </w:p>
    <w:p w14:paraId="1C0924F4" w14:textId="77777777" w:rsidR="00913E1E" w:rsidRDefault="00913E1E" w:rsidP="002131E4">
      <w:pPr>
        <w:spacing w:line="240" w:lineRule="exact"/>
        <w:rPr>
          <w:color w:val="000000" w:themeColor="text1"/>
        </w:rPr>
      </w:pPr>
      <w: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rPr>
        <w:t>conoscenza e capacità di comprensione</w:t>
      </w:r>
      <w:r>
        <w:rPr>
          <w:color w:val="000000" w:themeColor="text1"/>
        </w:rPr>
        <w:t>).</w:t>
      </w:r>
    </w:p>
    <w:p w14:paraId="25DB550C"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6A5A6DDF"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diritto) e sociale (prassi) connessi alle relazioni di lavoro, tenuto conto della </w:t>
      </w:r>
      <w:r>
        <w:rPr>
          <w:rFonts w:eastAsiaTheme="minorHAnsi"/>
          <w:color w:val="000000" w:themeColor="text1"/>
        </w:rPr>
        <w:lastRenderedPageBreak/>
        <w:t>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14:paraId="2A35ECEA"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14:paraId="71CE8BDF" w14:textId="77777777" w:rsidR="00913E1E" w:rsidRPr="002358C5" w:rsidRDefault="00913E1E" w:rsidP="002131E4">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14:paraId="1BD8D310" w14:textId="77777777" w:rsidR="00913E1E" w:rsidRPr="00052DCA" w:rsidRDefault="00913E1E" w:rsidP="00913E1E">
      <w:pPr>
        <w:spacing w:before="240" w:after="120"/>
        <w:rPr>
          <w:b/>
        </w:rPr>
      </w:pPr>
      <w:r w:rsidRPr="00052DCA">
        <w:rPr>
          <w:b/>
          <w:i/>
        </w:rPr>
        <w:t>PROGRAMMA DEL CORSO</w:t>
      </w:r>
    </w:p>
    <w:p w14:paraId="6825D9C3" w14:textId="77777777"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14:paraId="0F1FFC96" w14:textId="5FBAA978" w:rsidR="00913E1E" w:rsidRPr="005E02B1" w:rsidRDefault="00913E1E" w:rsidP="00913E1E">
      <w:r w:rsidRPr="005E02B1">
        <w:tab/>
      </w:r>
      <w:r w:rsidR="009F47C6">
        <w:t xml:space="preserve">Parte I </w:t>
      </w:r>
      <w:r w:rsidRPr="00760D86">
        <w:rPr>
          <w:i/>
        </w:rPr>
        <w:t>C</w:t>
      </w:r>
      <w:r w:rsidRPr="005E02B1">
        <w:rPr>
          <w:i/>
        </w:rPr>
        <w:t>ontratti di lavoro</w:t>
      </w:r>
    </w:p>
    <w:p w14:paraId="43621A92" w14:textId="77777777"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14:paraId="25A22DB4" w14:textId="77777777"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14:paraId="59C023FC" w14:textId="77777777"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14:paraId="3B317355" w14:textId="77777777"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14:paraId="73225639" w14:textId="77777777"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14:paraId="0752BA74" w14:textId="77777777"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14:paraId="0BC79D6E" w14:textId="77777777"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14:paraId="03EF3BAA" w14:textId="16A64708" w:rsidR="00913E1E" w:rsidRDefault="00913E1E" w:rsidP="00913E1E">
      <w:pPr>
        <w:pStyle w:val="Paragrafoelenco"/>
        <w:numPr>
          <w:ilvl w:val="0"/>
          <w:numId w:val="1"/>
        </w:numPr>
        <w:tabs>
          <w:tab w:val="left" w:pos="284"/>
        </w:tabs>
        <w:spacing w:line="240" w:lineRule="exact"/>
      </w:pPr>
      <w:r w:rsidRPr="005E02B1">
        <w:t>La tutela verso i licenziamenti illegittimi</w:t>
      </w:r>
      <w:r w:rsidR="003F10C1">
        <w:t>.</w:t>
      </w:r>
    </w:p>
    <w:p w14:paraId="1A081E6F" w14:textId="77777777" w:rsidR="009F47C6" w:rsidRPr="005E02B1" w:rsidRDefault="009F47C6" w:rsidP="009F47C6">
      <w:pPr>
        <w:pStyle w:val="Paragrafoelenco"/>
        <w:tabs>
          <w:tab w:val="left" w:pos="284"/>
        </w:tabs>
        <w:spacing w:line="240" w:lineRule="exact"/>
      </w:pPr>
    </w:p>
    <w:p w14:paraId="5AB6561C" w14:textId="79B3DC4E" w:rsidR="00913E1E" w:rsidRPr="005E02B1" w:rsidRDefault="00913E1E" w:rsidP="00913E1E">
      <w:pPr>
        <w:rPr>
          <w:i/>
        </w:rPr>
      </w:pPr>
      <w:r w:rsidRPr="005E02B1">
        <w:tab/>
      </w:r>
      <w:r w:rsidR="009F47C6">
        <w:t xml:space="preserve">Parte II </w:t>
      </w:r>
      <w:r>
        <w:rPr>
          <w:i/>
        </w:rPr>
        <w:t>R</w:t>
      </w:r>
      <w:r w:rsidRPr="005E02B1">
        <w:rPr>
          <w:i/>
        </w:rPr>
        <w:t>apporti sindacali</w:t>
      </w:r>
    </w:p>
    <w:p w14:paraId="20124E82" w14:textId="77777777" w:rsidR="00913E1E" w:rsidRPr="005E02B1" w:rsidRDefault="00913E1E" w:rsidP="00913E1E">
      <w:pPr>
        <w:pStyle w:val="Paragrafoelenco"/>
        <w:numPr>
          <w:ilvl w:val="0"/>
          <w:numId w:val="1"/>
        </w:numPr>
        <w:tabs>
          <w:tab w:val="left" w:pos="284"/>
        </w:tabs>
        <w:spacing w:line="240" w:lineRule="exact"/>
      </w:pPr>
      <w:r w:rsidRPr="005E02B1">
        <w:lastRenderedPageBreak/>
        <w:t>La libertà sindacale nella Costituzione e nello Statuto dei lavoratori.</w:t>
      </w:r>
    </w:p>
    <w:p w14:paraId="795A9F00" w14:textId="77777777" w:rsidR="00913E1E" w:rsidRPr="005E02B1" w:rsidRDefault="00913E1E" w:rsidP="00913E1E">
      <w:pPr>
        <w:pStyle w:val="Paragrafoelenco"/>
        <w:numPr>
          <w:ilvl w:val="0"/>
          <w:numId w:val="1"/>
        </w:numPr>
        <w:tabs>
          <w:tab w:val="left" w:pos="284"/>
        </w:tabs>
        <w:spacing w:line="240" w:lineRule="exact"/>
      </w:pPr>
      <w:r w:rsidRPr="005E02B1">
        <w:t>La contrattazione collettiva.</w:t>
      </w:r>
    </w:p>
    <w:p w14:paraId="2492B1AC" w14:textId="77777777"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14:paraId="429F4A28" w14:textId="372F9FE5" w:rsidR="00913E1E" w:rsidRDefault="00913E1E" w:rsidP="00C46D28">
      <w:pPr>
        <w:pStyle w:val="Paragrafoelenco"/>
        <w:numPr>
          <w:ilvl w:val="0"/>
          <w:numId w:val="1"/>
        </w:numPr>
        <w:tabs>
          <w:tab w:val="left" w:pos="284"/>
        </w:tabs>
        <w:spacing w:line="240" w:lineRule="exact"/>
      </w:pPr>
      <w:r w:rsidRPr="005E02B1">
        <w:t>Il diritto di sciopero</w:t>
      </w:r>
    </w:p>
    <w:p w14:paraId="73ECC60E" w14:textId="332D5D34" w:rsidR="00913E1E" w:rsidRPr="00F81C9A" w:rsidRDefault="00913E1E" w:rsidP="00913E1E">
      <w:pPr>
        <w:keepNext/>
        <w:spacing w:before="240" w:after="120" w:line="240" w:lineRule="exact"/>
        <w:rPr>
          <w:b/>
          <w:szCs w:val="20"/>
        </w:rPr>
      </w:pPr>
      <w:r w:rsidRPr="00F81C9A">
        <w:rPr>
          <w:b/>
          <w:i/>
          <w:szCs w:val="20"/>
        </w:rPr>
        <w:t>BIBLIOGRAFIA</w:t>
      </w:r>
      <w:r w:rsidR="00BD65A6">
        <w:rPr>
          <w:rStyle w:val="Rimandonotaapidipagina"/>
          <w:b/>
          <w:i/>
          <w:szCs w:val="20"/>
        </w:rPr>
        <w:footnoteReference w:id="1"/>
      </w:r>
    </w:p>
    <w:p w14:paraId="33C117D8" w14:textId="77777777" w:rsidR="0027791B" w:rsidRDefault="00913E1E" w:rsidP="0027791B">
      <w:pPr>
        <w:pStyle w:val="Testo1"/>
      </w:pPr>
      <w:r w:rsidRPr="002131E4">
        <w:t xml:space="preserve">La preparazione dell’esame richiede lo studio per intero del volume, nel quale – pur in diverso ordine espositivo - sono inclusi tutti i temi del programma del corso: </w:t>
      </w:r>
    </w:p>
    <w:p w14:paraId="3B148B8F" w14:textId="5696DC09" w:rsidR="00913E1E" w:rsidRPr="00BD65A6" w:rsidRDefault="0027791B" w:rsidP="00BD65A6">
      <w:pPr>
        <w:rPr>
          <w:rStyle w:val="Collegamentoipertestuale"/>
        </w:rPr>
      </w:pPr>
      <w:r>
        <w:t xml:space="preserve">A. </w:t>
      </w:r>
      <w:r w:rsidR="003D5409" w:rsidRPr="0027791B">
        <w:rPr>
          <w:szCs w:val="18"/>
        </w:rPr>
        <w:t>Occhino</w:t>
      </w:r>
      <w:r w:rsidR="00913E1E" w:rsidRPr="0027791B">
        <w:rPr>
          <w:szCs w:val="18"/>
        </w:rPr>
        <w:t>-</w:t>
      </w:r>
      <w:r w:rsidR="00482B2C" w:rsidRPr="0027791B">
        <w:rPr>
          <w:szCs w:val="18"/>
        </w:rPr>
        <w:t>G</w:t>
      </w:r>
      <w:r w:rsidR="00913E1E" w:rsidRPr="0027791B">
        <w:rPr>
          <w:szCs w:val="18"/>
        </w:rPr>
        <w:t xml:space="preserve">. </w:t>
      </w:r>
      <w:r w:rsidR="00482B2C" w:rsidRPr="0027791B">
        <w:rPr>
          <w:szCs w:val="18"/>
        </w:rPr>
        <w:t>Zilio Grandi</w:t>
      </w:r>
      <w:r w:rsidR="00913E1E" w:rsidRPr="0027791B">
        <w:rPr>
          <w:szCs w:val="18"/>
        </w:rPr>
        <w:t xml:space="preserve">, Diritto del lavoro, Giappichelli, </w:t>
      </w:r>
      <w:r w:rsidR="00482B2C" w:rsidRPr="0027791B">
        <w:rPr>
          <w:szCs w:val="18"/>
        </w:rPr>
        <w:t>2023</w:t>
      </w:r>
      <w:r w:rsidR="00913E1E" w:rsidRPr="002131E4">
        <w:t>.</w:t>
      </w:r>
      <w:r w:rsidR="006418AA" w:rsidRPr="0027791B">
        <w:rPr>
          <w:i/>
          <w:sz w:val="16"/>
          <w:szCs w:val="16"/>
        </w:rPr>
        <w:t xml:space="preserve"> </w:t>
      </w:r>
      <w:bookmarkStart w:id="2" w:name="_Hlk140133243"/>
      <w:r w:rsidR="00BD65A6">
        <w:rPr>
          <w:i/>
          <w:color w:val="0563C1"/>
          <w:u w:val="single"/>
        </w:rPr>
        <w:fldChar w:fldCharType="begin"/>
      </w:r>
      <w:r w:rsidR="00BD65A6">
        <w:rPr>
          <w:i/>
          <w:color w:val="0563C1"/>
          <w:u w:val="single"/>
        </w:rPr>
        <w:instrText>HYPERLINK "https://librerie.unicatt.it/scheda-libro/antonella-occhino-gaetano-zilio-grandi/diritto-del-lavoro-9788892144255-717882.html"</w:instrText>
      </w:r>
      <w:r w:rsidR="00BD65A6">
        <w:rPr>
          <w:i/>
          <w:color w:val="0563C1"/>
          <w:u w:val="single"/>
        </w:rPr>
      </w:r>
      <w:r w:rsidR="00BD65A6">
        <w:rPr>
          <w:i/>
          <w:color w:val="0563C1"/>
          <w:u w:val="single"/>
        </w:rPr>
        <w:fldChar w:fldCharType="separate"/>
      </w:r>
      <w:r w:rsidR="00BD65A6" w:rsidRPr="00BD65A6">
        <w:rPr>
          <w:rStyle w:val="Collegamentoipertestuale"/>
          <w:i/>
        </w:rPr>
        <w:t>Acquista da VP</w:t>
      </w:r>
      <w:bookmarkEnd w:id="2"/>
    </w:p>
    <w:p w14:paraId="1E3AB6D5" w14:textId="0983C600" w:rsidR="00913E1E" w:rsidRPr="00F81C9A" w:rsidRDefault="00BD65A6" w:rsidP="00913E1E">
      <w:pPr>
        <w:spacing w:before="240" w:after="120"/>
        <w:rPr>
          <w:b/>
          <w:i/>
          <w:szCs w:val="20"/>
        </w:rPr>
      </w:pPr>
      <w:r>
        <w:rPr>
          <w:i/>
          <w:color w:val="0563C1"/>
          <w:u w:val="single"/>
        </w:rPr>
        <w:fldChar w:fldCharType="end"/>
      </w:r>
      <w:r w:rsidR="00913E1E" w:rsidRPr="00F81C9A">
        <w:rPr>
          <w:b/>
          <w:i/>
          <w:szCs w:val="20"/>
        </w:rPr>
        <w:t>DIDATTICA DEL CORSO</w:t>
      </w:r>
    </w:p>
    <w:p w14:paraId="4D84C09A" w14:textId="77777777" w:rsidR="00913E1E" w:rsidRPr="00C6007F" w:rsidRDefault="00913E1E" w:rsidP="00C6007F">
      <w:pPr>
        <w:pStyle w:val="Testo2"/>
      </w:pPr>
      <w:r w:rsidRPr="00C6007F">
        <w:t>Lezioni frontali, inclusa la illustrazione e trattazione di casi giurisprudenziali di significativa attualità.</w:t>
      </w:r>
    </w:p>
    <w:p w14:paraId="78DDA8C3" w14:textId="77777777" w:rsidR="00C6007F" w:rsidRDefault="00C6007F" w:rsidP="00C6007F">
      <w:pPr>
        <w:spacing w:before="240" w:after="120"/>
        <w:rPr>
          <w:b/>
          <w:i/>
          <w:sz w:val="18"/>
        </w:rPr>
      </w:pPr>
      <w:r>
        <w:rPr>
          <w:b/>
          <w:i/>
          <w:sz w:val="18"/>
        </w:rPr>
        <w:t>METODO E CRITERI DI VALUTAZIONE</w:t>
      </w:r>
    </w:p>
    <w:p w14:paraId="6AA0325B" w14:textId="77777777"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14:paraId="1EB8AE18" w14:textId="77777777"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2DFB8AD0" w14:textId="77777777"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26091AF7" w14:textId="77777777" w:rsidR="00913E1E" w:rsidRPr="00C6007F" w:rsidRDefault="00913E1E" w:rsidP="00C6007F">
      <w:pPr>
        <w:pStyle w:val="Testo2"/>
      </w:pPr>
      <w:r w:rsidRPr="00C6007F">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65C418F" w14:textId="77777777" w:rsidR="00913E1E" w:rsidRPr="00C6007F" w:rsidRDefault="00913E1E" w:rsidP="00C6007F">
      <w:pPr>
        <w:pStyle w:val="Testo2"/>
      </w:pPr>
      <w:r w:rsidRPr="00C6007F">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5C4BDDE5" w14:textId="77777777" w:rsidR="00913E1E" w:rsidRPr="00C6007F" w:rsidRDefault="00913E1E" w:rsidP="00C6007F">
      <w:pPr>
        <w:pStyle w:val="Testo2"/>
      </w:pPr>
      <w:r w:rsidRPr="00C6007F">
        <w:t>I criteri per l’attribuzione del voto finale sono i seguenti.</w:t>
      </w:r>
    </w:p>
    <w:p w14:paraId="658C76F3" w14:textId="4085A40E" w:rsidR="00913E1E" w:rsidRPr="00C6007F" w:rsidRDefault="00913E1E" w:rsidP="00C6007F">
      <w:pPr>
        <w:pStyle w:val="Testo2"/>
      </w:pPr>
      <w:r w:rsidRPr="00C6007F">
        <w:t>-</w:t>
      </w:r>
      <w:r w:rsidR="00136D70">
        <w:t xml:space="preserve"> </w:t>
      </w:r>
      <w:r w:rsidRPr="00C6007F">
        <w:t xml:space="preserve">La consapevolezza ampia dei temi, la capacità di applicare criticamente le conoscenze e la proprietà linguistica ed espressiva specifica in area giuridica e specialmente giuslavorista </w:t>
      </w:r>
      <w:r w:rsidRPr="00C6007F">
        <w:lastRenderedPageBreak/>
        <w:t>condurranno a voti di eccellenza, con eventuale attribuzione della lode nei soli casi in cui il candidato/a dimostri una preparazione straordinaria.</w:t>
      </w:r>
    </w:p>
    <w:p w14:paraId="58BC4388" w14:textId="61F38952" w:rsidR="00913E1E" w:rsidRPr="00C6007F" w:rsidRDefault="00913E1E" w:rsidP="00C6007F">
      <w:pPr>
        <w:pStyle w:val="Testo2"/>
      </w:pPr>
      <w:r w:rsidRPr="00C6007F">
        <w:t>-</w:t>
      </w:r>
      <w:r w:rsidR="00136D70">
        <w:t xml:space="preserve"> </w:t>
      </w: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14:paraId="4977B0E4" w14:textId="56E7FFA1" w:rsidR="00913E1E" w:rsidRPr="00C6007F" w:rsidRDefault="00913E1E" w:rsidP="00C6007F">
      <w:pPr>
        <w:pStyle w:val="Testo2"/>
      </w:pPr>
      <w:r w:rsidRPr="00C6007F">
        <w:t>-</w:t>
      </w:r>
      <w:r w:rsidR="00136D70">
        <w:t xml:space="preserve"> </w:t>
      </w:r>
      <w:r w:rsidRPr="00C6007F">
        <w:t>La presenza di lacune formative o l’utilizzo di un linguaggio inappropriato, anche se non del tutto scorretto, nell’ambito di conoscenze di tipo basilare del programma condurranno ad una valutazione di sufficienza.</w:t>
      </w:r>
    </w:p>
    <w:p w14:paraId="0FC9F7AB" w14:textId="1D46B276" w:rsidR="00913E1E" w:rsidRDefault="00913E1E" w:rsidP="00C6007F">
      <w:pPr>
        <w:pStyle w:val="Testo2"/>
      </w:pPr>
      <w:r w:rsidRPr="00C6007F">
        <w:t>-</w:t>
      </w:r>
      <w:r w:rsidR="00136D70">
        <w:t xml:space="preserve"> </w:t>
      </w:r>
      <w:r w:rsidRPr="00C6007F">
        <w:t>L’emersione di lacune formative gravi e in ogni caso avere trascurato una parte del programma, l’utilizzo di un linguaggio scorretto o la mancanza di orientamento all’interno della bibliografia indicata saranno valutati negativamente.</w:t>
      </w:r>
    </w:p>
    <w:p w14:paraId="17177059" w14:textId="77777777" w:rsidR="009F47C6" w:rsidRPr="009F47C6" w:rsidRDefault="009F47C6" w:rsidP="002131E4">
      <w:pPr>
        <w:pStyle w:val="Testo2"/>
        <w:spacing w:before="240" w:after="120"/>
        <w:rPr>
          <w:b/>
          <w:i/>
        </w:rPr>
      </w:pPr>
      <w:r w:rsidRPr="009F47C6">
        <w:rPr>
          <w:b/>
          <w:i/>
        </w:rPr>
        <w:t>AVVERTENZE E PREREQUISITI</w:t>
      </w:r>
    </w:p>
    <w:p w14:paraId="51C8B7F4" w14:textId="77777777" w:rsidR="009F47C6" w:rsidRPr="009F47C6" w:rsidRDefault="009F47C6" w:rsidP="009F47C6">
      <w:pPr>
        <w:pStyle w:val="Testo2"/>
      </w:pPr>
      <w:r w:rsidRPr="009F47C6">
        <w:t>Per tale insegnamento non sono previsti prerequisiti specifici.</w:t>
      </w:r>
    </w:p>
    <w:p w14:paraId="572B3D3B" w14:textId="77777777" w:rsidR="009F47C6" w:rsidRPr="009F47C6" w:rsidRDefault="009F47C6" w:rsidP="002131E4">
      <w:pPr>
        <w:pStyle w:val="Testo2"/>
        <w:spacing w:before="120"/>
        <w:rPr>
          <w:i/>
        </w:rPr>
      </w:pPr>
      <w:r w:rsidRPr="009F47C6">
        <w:rPr>
          <w:i/>
        </w:rPr>
        <w:t>Orario e luogo di ricevimento</w:t>
      </w:r>
    </w:p>
    <w:p w14:paraId="1FF41947" w14:textId="2F540351" w:rsidR="009F47C6" w:rsidRPr="00C6007F" w:rsidRDefault="009F47C6" w:rsidP="009F47C6">
      <w:pPr>
        <w:pStyle w:val="Testo2"/>
      </w:pPr>
      <w:r w:rsidRPr="009F47C6">
        <w:t xml:space="preserve">Il Prof. </w:t>
      </w:r>
      <w:r>
        <w:t>Mirko Altimari</w:t>
      </w:r>
      <w:r w:rsidRPr="009F47C6">
        <w:t xml:space="preserve"> riceverà gli studenti nel suo studio (stanza 3</w:t>
      </w:r>
      <w:r>
        <w:t>33</w:t>
      </w:r>
      <w:r w:rsidRPr="009F47C6">
        <w:t>, 3° piano edificio Gregorianum</w:t>
      </w:r>
      <w:r>
        <w:t>,</w:t>
      </w:r>
      <w:r w:rsidRPr="009F47C6">
        <w:t xml:space="preserve"> Largo Gemelli) il </w:t>
      </w:r>
      <w:r w:rsidR="00451EF1">
        <w:t>martedì</w:t>
      </w:r>
      <w:r w:rsidRPr="009F47C6">
        <w:t xml:space="preserve"> </w:t>
      </w:r>
      <w:r>
        <w:t xml:space="preserve">alle ore 15.30, previo appuntamento via mail. </w:t>
      </w:r>
    </w:p>
    <w:sectPr w:rsidR="009F47C6" w:rsidRPr="00C600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17CE" w14:textId="77777777" w:rsidR="006418AA" w:rsidRDefault="006418AA" w:rsidP="006418AA">
      <w:pPr>
        <w:spacing w:line="240" w:lineRule="auto"/>
      </w:pPr>
      <w:r>
        <w:separator/>
      </w:r>
    </w:p>
  </w:endnote>
  <w:endnote w:type="continuationSeparator" w:id="0">
    <w:p w14:paraId="23551B2E" w14:textId="77777777" w:rsidR="006418AA" w:rsidRDefault="006418AA" w:rsidP="00641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71AF" w14:textId="77777777" w:rsidR="006418AA" w:rsidRDefault="006418AA" w:rsidP="006418AA">
      <w:pPr>
        <w:spacing w:line="240" w:lineRule="auto"/>
      </w:pPr>
      <w:r>
        <w:separator/>
      </w:r>
    </w:p>
  </w:footnote>
  <w:footnote w:type="continuationSeparator" w:id="0">
    <w:p w14:paraId="5B315090" w14:textId="77777777" w:rsidR="006418AA" w:rsidRDefault="006418AA" w:rsidP="006418AA">
      <w:pPr>
        <w:spacing w:line="240" w:lineRule="auto"/>
      </w:pPr>
      <w:r>
        <w:continuationSeparator/>
      </w:r>
    </w:p>
  </w:footnote>
  <w:footnote w:id="1">
    <w:p w14:paraId="51451541" w14:textId="77777777" w:rsidR="00BD65A6" w:rsidRDefault="00BD65A6" w:rsidP="00BD65A6">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p>
    <w:bookmarkEnd w:id="1"/>
    <w:p w14:paraId="6E5D67CF" w14:textId="624D4976" w:rsidR="00BD65A6" w:rsidRDefault="00BD65A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4213"/>
    <w:multiLevelType w:val="hybridMultilevel"/>
    <w:tmpl w:val="10EC6D20"/>
    <w:lvl w:ilvl="0" w:tplc="855E075E">
      <w:start w:val="1"/>
      <w:numFmt w:val="upp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965597E"/>
    <w:multiLevelType w:val="hybridMultilevel"/>
    <w:tmpl w:val="91A4B65C"/>
    <w:lvl w:ilvl="0" w:tplc="73C81B88">
      <w:start w:val="1"/>
      <w:numFmt w:val="upp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C14E21"/>
    <w:multiLevelType w:val="hybridMultilevel"/>
    <w:tmpl w:val="1228D216"/>
    <w:lvl w:ilvl="0" w:tplc="73F4C4DE">
      <w:start w:val="1"/>
      <w:numFmt w:val="upp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08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925880">
    <w:abstractNumId w:val="2"/>
  </w:num>
  <w:num w:numId="3" w16cid:durableId="679241012">
    <w:abstractNumId w:val="3"/>
  </w:num>
  <w:num w:numId="4" w16cid:durableId="116315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2E"/>
    <w:rsid w:val="00103297"/>
    <w:rsid w:val="00136D70"/>
    <w:rsid w:val="00187B99"/>
    <w:rsid w:val="001A5DC2"/>
    <w:rsid w:val="001D6FF4"/>
    <w:rsid w:val="002014DD"/>
    <w:rsid w:val="002131E4"/>
    <w:rsid w:val="0027791B"/>
    <w:rsid w:val="002D5E17"/>
    <w:rsid w:val="003D5409"/>
    <w:rsid w:val="003F10C1"/>
    <w:rsid w:val="00424980"/>
    <w:rsid w:val="00451EF1"/>
    <w:rsid w:val="00465AE7"/>
    <w:rsid w:val="00482B2C"/>
    <w:rsid w:val="004D1217"/>
    <w:rsid w:val="004D6008"/>
    <w:rsid w:val="00636D70"/>
    <w:rsid w:val="00640794"/>
    <w:rsid w:val="006418AA"/>
    <w:rsid w:val="006F1772"/>
    <w:rsid w:val="007F515C"/>
    <w:rsid w:val="008942E7"/>
    <w:rsid w:val="008A0BC5"/>
    <w:rsid w:val="008A1204"/>
    <w:rsid w:val="00900CCA"/>
    <w:rsid w:val="00913E1E"/>
    <w:rsid w:val="009240B0"/>
    <w:rsid w:val="00924B77"/>
    <w:rsid w:val="00940DA2"/>
    <w:rsid w:val="009A4513"/>
    <w:rsid w:val="009E055C"/>
    <w:rsid w:val="009F1E2E"/>
    <w:rsid w:val="009F47C6"/>
    <w:rsid w:val="00A74F6F"/>
    <w:rsid w:val="00AD7557"/>
    <w:rsid w:val="00B10236"/>
    <w:rsid w:val="00B50C5D"/>
    <w:rsid w:val="00B51253"/>
    <w:rsid w:val="00B525CC"/>
    <w:rsid w:val="00BD65A6"/>
    <w:rsid w:val="00C46D28"/>
    <w:rsid w:val="00C6007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15:docId w15:val="{AB6700AB-AA23-4196-A6C8-5D03753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6418AA"/>
    <w:pPr>
      <w:spacing w:line="240" w:lineRule="auto"/>
    </w:pPr>
    <w:rPr>
      <w:szCs w:val="20"/>
    </w:rPr>
  </w:style>
  <w:style w:type="character" w:customStyle="1" w:styleId="TestonotaapidipaginaCarattere">
    <w:name w:val="Testo nota a piè di pagina Carattere"/>
    <w:basedOn w:val="Carpredefinitoparagrafo"/>
    <w:link w:val="Testonotaapidipagina"/>
    <w:rsid w:val="006418AA"/>
  </w:style>
  <w:style w:type="character" w:styleId="Rimandonotaapidipagina">
    <w:name w:val="footnote reference"/>
    <w:basedOn w:val="Carpredefinitoparagrafo"/>
    <w:rsid w:val="006418AA"/>
    <w:rPr>
      <w:vertAlign w:val="superscript"/>
    </w:rPr>
  </w:style>
  <w:style w:type="character" w:styleId="Collegamentoipertestuale">
    <w:name w:val="Hyperlink"/>
    <w:basedOn w:val="Carpredefinitoparagrafo"/>
    <w:rsid w:val="006418AA"/>
    <w:rPr>
      <w:color w:val="0563C1" w:themeColor="hyperlink"/>
      <w:u w:val="single"/>
    </w:rPr>
  </w:style>
  <w:style w:type="character" w:styleId="Menzionenonrisolta">
    <w:name w:val="Unresolved Mention"/>
    <w:basedOn w:val="Carpredefinitoparagrafo"/>
    <w:uiPriority w:val="99"/>
    <w:semiHidden/>
    <w:unhideWhenUsed/>
    <w:rsid w:val="00BD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30FC-45D2-4387-A05F-C2684F5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4</Pages>
  <Words>1265</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Altimari</dc:creator>
  <cp:keywords/>
  <cp:lastModifiedBy>Caputo Chiara</cp:lastModifiedBy>
  <cp:revision>4</cp:revision>
  <cp:lastPrinted>2003-03-27T10:42:00Z</cp:lastPrinted>
  <dcterms:created xsi:type="dcterms:W3CDTF">2023-05-10T06:22:00Z</dcterms:created>
  <dcterms:modified xsi:type="dcterms:W3CDTF">2023-07-17T10:14:00Z</dcterms:modified>
</cp:coreProperties>
</file>