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88AE0" w14:textId="53A9C601" w:rsidR="007D5FFA" w:rsidRDefault="007D5FFA" w:rsidP="007D5FFA">
      <w:pPr>
        <w:pStyle w:val="Titolo1"/>
      </w:pPr>
      <w:r>
        <w:t>Modulo specialistico con laboratorio</w:t>
      </w:r>
      <w:r w:rsidRPr="008178BA">
        <w:t xml:space="preserve">: </w:t>
      </w:r>
      <w:r w:rsidR="00F36812">
        <w:t>E</w:t>
      </w:r>
      <w:r w:rsidRPr="008178BA">
        <w:t>rgonomia e user</w:t>
      </w:r>
      <w:r>
        <w:t xml:space="preserve"> experience</w:t>
      </w:r>
    </w:p>
    <w:p w14:paraId="67247A8E" w14:textId="77777777" w:rsidR="007D5FFA" w:rsidRDefault="007D5FFA" w:rsidP="007D5FFA">
      <w:pPr>
        <w:pStyle w:val="Titolo2"/>
      </w:pPr>
      <w:r>
        <w:t>Prof. Maurizio Mauri</w:t>
      </w:r>
    </w:p>
    <w:p w14:paraId="7D7E88DA" w14:textId="77777777" w:rsidR="002D5E17" w:rsidRDefault="007D5FFA" w:rsidP="007D5FF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A550947" w14:textId="77777777" w:rsidR="007D5FFA" w:rsidRDefault="007D5FFA" w:rsidP="00EB1ACD">
      <w:pPr>
        <w:spacing w:line="240" w:lineRule="exact"/>
      </w:pPr>
      <w:r w:rsidRPr="008178BA">
        <w:t xml:space="preserve">Obiettivo </w:t>
      </w:r>
      <w:bookmarkStart w:id="0" w:name="_Hlk1721597"/>
      <w:r w:rsidRPr="008178BA">
        <w:t xml:space="preserve">del corso è dotare gli studenti delle necessarie competenze teoriche, tecniche e operative per pianificare e gestire la </w:t>
      </w:r>
      <w:r w:rsidRPr="00F10335">
        <w:t xml:space="preserve">valutazione di </w:t>
      </w:r>
      <w:r w:rsidRPr="00EB1ACD">
        <w:rPr>
          <w:i/>
        </w:rPr>
        <w:t>ambienti</w:t>
      </w:r>
      <w:r>
        <w:t xml:space="preserve"> (digitali, virtuali e fisici), </w:t>
      </w:r>
      <w:r w:rsidRPr="00EB1ACD">
        <w:rPr>
          <w:i/>
        </w:rPr>
        <w:t xml:space="preserve">interfacce </w:t>
      </w:r>
      <w:r>
        <w:t xml:space="preserve">e/o </w:t>
      </w:r>
      <w:r w:rsidRPr="00EB1ACD">
        <w:rPr>
          <w:i/>
        </w:rPr>
        <w:t>tecnologie</w:t>
      </w:r>
      <w:r w:rsidRPr="00F10335">
        <w:t>,</w:t>
      </w:r>
      <w:r w:rsidRPr="008178BA">
        <w:t xml:space="preserve"> siano quest</w:t>
      </w:r>
      <w:r>
        <w:t>i</w:t>
      </w:r>
      <w:r w:rsidRPr="008178BA">
        <w:t xml:space="preserve"> inserit</w:t>
      </w:r>
      <w:r>
        <w:t>i</w:t>
      </w:r>
      <w:r w:rsidRPr="008178BA">
        <w:t xml:space="preserve"> in processi di lavoro </w:t>
      </w:r>
      <w:r>
        <w:t>e/</w:t>
      </w:r>
      <w:r w:rsidRPr="008178BA">
        <w:t>o nell’utilizzo quotidiano.</w:t>
      </w:r>
      <w:bookmarkEnd w:id="0"/>
    </w:p>
    <w:p w14:paraId="2B51F330" w14:textId="77777777" w:rsidR="007D5FFA" w:rsidRDefault="007D5FFA" w:rsidP="00EB1AC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1EB3ECD" w14:textId="77777777" w:rsidR="007D5FFA" w:rsidRPr="00EB1ACD" w:rsidRDefault="007D5FFA" w:rsidP="00EB1ACD">
      <w:pPr>
        <w:spacing w:line="240" w:lineRule="exact"/>
        <w:rPr>
          <w:i/>
        </w:rPr>
      </w:pPr>
      <w:bookmarkStart w:id="1" w:name="_Hlk1721650"/>
      <w:r w:rsidRPr="00AB468E">
        <w:t xml:space="preserve">Il corso prevede una parte </w:t>
      </w:r>
      <w:r w:rsidRPr="00EB1ACD">
        <w:rPr>
          <w:i/>
        </w:rPr>
        <w:t>teorica,</w:t>
      </w:r>
      <w:r w:rsidRPr="00EB1ACD">
        <w:t xml:space="preserve"> </w:t>
      </w:r>
      <w:r w:rsidRPr="00B15D28">
        <w:t xml:space="preserve">una </w:t>
      </w:r>
      <w:r w:rsidRPr="00EB1ACD">
        <w:rPr>
          <w:i/>
        </w:rPr>
        <w:t xml:space="preserve">metodologica </w:t>
      </w:r>
      <w:r>
        <w:t xml:space="preserve">e una parte </w:t>
      </w:r>
      <w:r w:rsidRPr="00EB1ACD">
        <w:rPr>
          <w:i/>
        </w:rPr>
        <w:t>pratica.</w:t>
      </w:r>
    </w:p>
    <w:p w14:paraId="38D4E117" w14:textId="3F9EC8BB" w:rsidR="007D5FFA" w:rsidRPr="00AB468E" w:rsidRDefault="007D5FFA" w:rsidP="00EB1ACD">
      <w:pPr>
        <w:spacing w:before="120" w:line="240" w:lineRule="exact"/>
      </w:pPr>
      <w:r w:rsidRPr="00AB468E">
        <w:t xml:space="preserve">La parte </w:t>
      </w:r>
      <w:r w:rsidRPr="00EB1ACD">
        <w:rPr>
          <w:i/>
        </w:rPr>
        <w:t>teorica</w:t>
      </w:r>
      <w:r w:rsidRPr="00AB468E">
        <w:t xml:space="preserve"> affronta, dal punto di vista storico, le diverse discipline accomunate dall’interesse per la valutazione delle tecnologie. </w:t>
      </w:r>
      <w:r w:rsidR="00742ABD">
        <w:t>Gli argomenti teorici affrontati saranno: l</w:t>
      </w:r>
      <w:r w:rsidRPr="00AB468E">
        <w:t>’</w:t>
      </w:r>
      <w:r w:rsidRPr="001C4003">
        <w:rPr>
          <w:i/>
        </w:rPr>
        <w:t>Ergonomia</w:t>
      </w:r>
      <w:r>
        <w:t>, lo</w:t>
      </w:r>
      <w:r w:rsidRPr="00AB468E">
        <w:t xml:space="preserve"> </w:t>
      </w:r>
      <w:r w:rsidRPr="00AB468E">
        <w:rPr>
          <w:i/>
        </w:rPr>
        <w:t xml:space="preserve">Human </w:t>
      </w:r>
      <w:proofErr w:type="spellStart"/>
      <w:r w:rsidRPr="00AB468E">
        <w:rPr>
          <w:i/>
        </w:rPr>
        <w:t>Factor</w:t>
      </w:r>
      <w:proofErr w:type="spellEnd"/>
      <w:r w:rsidRPr="00AB468E">
        <w:t xml:space="preserve">, </w:t>
      </w:r>
      <w:r w:rsidR="009A1FFB">
        <w:t xml:space="preserve">i </w:t>
      </w:r>
      <w:r w:rsidR="009A1FFB" w:rsidRPr="009A1FFB">
        <w:rPr>
          <w:i/>
          <w:iCs/>
        </w:rPr>
        <w:t>principi di Usabilità</w:t>
      </w:r>
      <w:r w:rsidR="009A1FFB">
        <w:t xml:space="preserve"> secondo Don Norman e Peter </w:t>
      </w:r>
      <w:proofErr w:type="spellStart"/>
      <w:r w:rsidR="009A1FFB">
        <w:t>Morville</w:t>
      </w:r>
      <w:proofErr w:type="spellEnd"/>
      <w:r w:rsidRPr="00AB468E">
        <w:t xml:space="preserve">, la </w:t>
      </w:r>
      <w:r w:rsidRPr="00AB468E">
        <w:rPr>
          <w:i/>
        </w:rPr>
        <w:t>User Experience</w:t>
      </w:r>
      <w:r w:rsidRPr="00AB468E">
        <w:t>,</w:t>
      </w:r>
      <w:r w:rsidR="00742ABD">
        <w:t xml:space="preserve"> le E</w:t>
      </w:r>
      <w:r w:rsidR="00742ABD" w:rsidRPr="00742ABD">
        <w:rPr>
          <w:i/>
          <w:iCs/>
        </w:rPr>
        <w:t>uristiche</w:t>
      </w:r>
      <w:r w:rsidR="00742ABD">
        <w:t xml:space="preserve"> di Jakob Nielsen,</w:t>
      </w:r>
      <w:r w:rsidRPr="00AB468E">
        <w:t xml:space="preserve"> il</w:t>
      </w:r>
      <w:r w:rsidRPr="00AB468E">
        <w:rPr>
          <w:i/>
        </w:rPr>
        <w:t xml:space="preserve"> Design for </w:t>
      </w:r>
      <w:proofErr w:type="spellStart"/>
      <w:r w:rsidRPr="00AB468E">
        <w:rPr>
          <w:i/>
        </w:rPr>
        <w:t>All</w:t>
      </w:r>
      <w:proofErr w:type="spellEnd"/>
      <w:r>
        <w:rPr>
          <w:i/>
        </w:rPr>
        <w:t>,</w:t>
      </w:r>
      <w:r w:rsidRPr="00AB468E">
        <w:t xml:space="preserve"> lo </w:t>
      </w:r>
      <w:r w:rsidRPr="00AB468E">
        <w:rPr>
          <w:i/>
        </w:rPr>
        <w:t xml:space="preserve">User </w:t>
      </w:r>
      <w:proofErr w:type="spellStart"/>
      <w:r w:rsidRPr="00AB468E">
        <w:rPr>
          <w:i/>
        </w:rPr>
        <w:t>Centered</w:t>
      </w:r>
      <w:proofErr w:type="spellEnd"/>
      <w:r w:rsidRPr="00AB468E">
        <w:rPr>
          <w:i/>
        </w:rPr>
        <w:t xml:space="preserve"> Design</w:t>
      </w:r>
      <w:r>
        <w:rPr>
          <w:i/>
        </w:rPr>
        <w:t>,</w:t>
      </w:r>
      <w:r>
        <w:t xml:space="preserve"> </w:t>
      </w:r>
      <w:r w:rsidR="00742ABD" w:rsidRPr="00742ABD">
        <w:rPr>
          <w:i/>
          <w:iCs/>
        </w:rPr>
        <w:t>l’</w:t>
      </w:r>
      <w:proofErr w:type="spellStart"/>
      <w:r w:rsidR="00742ABD" w:rsidRPr="00742ABD">
        <w:rPr>
          <w:i/>
          <w:iCs/>
        </w:rPr>
        <w:t>Emotional</w:t>
      </w:r>
      <w:proofErr w:type="spellEnd"/>
      <w:r w:rsidR="00742ABD" w:rsidRPr="00742ABD">
        <w:rPr>
          <w:i/>
          <w:iCs/>
        </w:rPr>
        <w:t xml:space="preserve"> Design</w:t>
      </w:r>
      <w:r w:rsidR="00742ABD">
        <w:t xml:space="preserve"> in termini di “</w:t>
      </w:r>
      <w:proofErr w:type="spellStart"/>
      <w:r w:rsidR="00742ABD" w:rsidRPr="00742ABD">
        <w:rPr>
          <w:i/>
          <w:iCs/>
        </w:rPr>
        <w:t>Hedonomics</w:t>
      </w:r>
      <w:proofErr w:type="spellEnd"/>
      <w:r w:rsidR="00742ABD">
        <w:rPr>
          <w:i/>
          <w:iCs/>
        </w:rPr>
        <w:t>”</w:t>
      </w:r>
      <w:r w:rsidR="00742ABD">
        <w:t xml:space="preserve">, </w:t>
      </w:r>
      <w:r>
        <w:t xml:space="preserve">la </w:t>
      </w:r>
      <w:r w:rsidRPr="00F10335">
        <w:rPr>
          <w:i/>
        </w:rPr>
        <w:t xml:space="preserve">User </w:t>
      </w:r>
      <w:proofErr w:type="spellStart"/>
      <w:r w:rsidRPr="00F10335">
        <w:rPr>
          <w:i/>
        </w:rPr>
        <w:t>Centered</w:t>
      </w:r>
      <w:proofErr w:type="spellEnd"/>
      <w:r w:rsidRPr="00F10335">
        <w:rPr>
          <w:i/>
        </w:rPr>
        <w:t xml:space="preserve"> Culture</w:t>
      </w:r>
      <w:r w:rsidR="002835B0">
        <w:t xml:space="preserve">; </w:t>
      </w:r>
      <w:r w:rsidR="00742ABD">
        <w:t>gli argomenti teorici</w:t>
      </w:r>
      <w:r>
        <w:t xml:space="preserve"> s</w:t>
      </w:r>
      <w:r w:rsidRPr="00AB468E">
        <w:t>ono presentati nei termini dei loro assunti e obiettivi principali, al fine di fornire una visione integrata degli elementi di importanza per la valutazione de</w:t>
      </w:r>
      <w:r>
        <w:t>gli ambienti, delle interfacce e delle</w:t>
      </w:r>
      <w:r w:rsidRPr="00AB468E">
        <w:t xml:space="preserve"> tecnologie. </w:t>
      </w:r>
    </w:p>
    <w:p w14:paraId="59CC060C" w14:textId="77777777" w:rsidR="007D5FFA" w:rsidRPr="00AB468E" w:rsidRDefault="007D5FFA" w:rsidP="00EB1ACD">
      <w:pPr>
        <w:spacing w:before="120" w:line="240" w:lineRule="exact"/>
      </w:pPr>
      <w:r w:rsidRPr="00AB468E">
        <w:t xml:space="preserve">La parte </w:t>
      </w:r>
      <w:r w:rsidRPr="00EB1ACD">
        <w:rPr>
          <w:i/>
        </w:rPr>
        <w:t>metodologica</w:t>
      </w:r>
      <w:r w:rsidRPr="00AB468E">
        <w:t xml:space="preserve"> è incentrata sulle funzioni e le modalità d’uso di alcuni tra gli strumenti principali provenienti dalle discipline sopra citate. In pa</w:t>
      </w:r>
      <w:r>
        <w:t>rticolare, vengono approfonditi:</w:t>
      </w:r>
    </w:p>
    <w:p w14:paraId="61470DB5" w14:textId="2ECC79AF" w:rsidR="00742ABD" w:rsidRPr="002835B0" w:rsidRDefault="00742ABD" w:rsidP="00EB1ACD">
      <w:pPr>
        <w:pStyle w:val="Paragrafoelenco"/>
        <w:numPr>
          <w:ilvl w:val="0"/>
          <w:numId w:val="1"/>
        </w:numPr>
        <w:spacing w:after="0" w:line="240" w:lineRule="exact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835B0">
        <w:rPr>
          <w:rFonts w:ascii="Times New Roman" w:hAnsi="Times New Roman"/>
          <w:sz w:val="20"/>
          <w:szCs w:val="20"/>
        </w:rPr>
        <w:t xml:space="preserve">La </w:t>
      </w:r>
      <w:r w:rsidRPr="002835B0">
        <w:rPr>
          <w:rFonts w:ascii="Times New Roman" w:hAnsi="Times New Roman"/>
          <w:i/>
          <w:iCs/>
          <w:sz w:val="20"/>
          <w:szCs w:val="20"/>
        </w:rPr>
        <w:t>valutazione della usabilità</w:t>
      </w:r>
      <w:r w:rsidRPr="002835B0">
        <w:rPr>
          <w:rFonts w:ascii="Times New Roman" w:hAnsi="Times New Roman"/>
          <w:sz w:val="20"/>
          <w:szCs w:val="20"/>
        </w:rPr>
        <w:t xml:space="preserve"> secondo i principi di Norman e </w:t>
      </w:r>
      <w:proofErr w:type="spellStart"/>
      <w:r w:rsidRPr="002835B0">
        <w:rPr>
          <w:rFonts w:ascii="Times New Roman" w:hAnsi="Times New Roman"/>
          <w:sz w:val="20"/>
          <w:szCs w:val="20"/>
        </w:rPr>
        <w:t>Morville</w:t>
      </w:r>
      <w:proofErr w:type="spellEnd"/>
      <w:r w:rsidR="002835B0">
        <w:rPr>
          <w:rFonts w:ascii="Times New Roman" w:hAnsi="Times New Roman"/>
          <w:sz w:val="20"/>
          <w:szCs w:val="20"/>
        </w:rPr>
        <w:t>;</w:t>
      </w:r>
    </w:p>
    <w:p w14:paraId="15843411" w14:textId="749C649B" w:rsidR="009A1FFB" w:rsidRDefault="009A1FFB" w:rsidP="00EB1ACD">
      <w:pPr>
        <w:pStyle w:val="Paragrafoelenco"/>
        <w:numPr>
          <w:ilvl w:val="0"/>
          <w:numId w:val="1"/>
        </w:numPr>
        <w:spacing w:after="0" w:line="240" w:lineRule="exact"/>
        <w:ind w:left="284" w:hanging="284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La </w:t>
      </w:r>
      <w:r w:rsidR="00742ABD">
        <w:rPr>
          <w:rFonts w:ascii="Times New Roman" w:hAnsi="Times New Roman"/>
          <w:i/>
          <w:iCs/>
          <w:sz w:val="20"/>
          <w:szCs w:val="20"/>
          <w:lang w:val="en-US"/>
        </w:rPr>
        <w:t>U</w:t>
      </w:r>
      <w:r w:rsidRPr="009A1FFB">
        <w:rPr>
          <w:rFonts w:ascii="Times New Roman" w:hAnsi="Times New Roman"/>
          <w:i/>
          <w:iCs/>
          <w:sz w:val="20"/>
          <w:szCs w:val="20"/>
          <w:lang w:val="en-US"/>
        </w:rPr>
        <w:t xml:space="preserve">sability </w:t>
      </w:r>
      <w:r w:rsidR="00742ABD">
        <w:rPr>
          <w:rFonts w:ascii="Times New Roman" w:hAnsi="Times New Roman"/>
          <w:i/>
          <w:iCs/>
          <w:sz w:val="20"/>
          <w:szCs w:val="20"/>
          <w:lang w:val="en-US"/>
        </w:rPr>
        <w:t>I</w:t>
      </w:r>
      <w:r w:rsidRPr="009A1FFB">
        <w:rPr>
          <w:rFonts w:ascii="Times New Roman" w:hAnsi="Times New Roman"/>
          <w:i/>
          <w:iCs/>
          <w:sz w:val="20"/>
          <w:szCs w:val="20"/>
          <w:lang w:val="en-US"/>
        </w:rPr>
        <w:t>nspection</w:t>
      </w:r>
      <w:r>
        <w:rPr>
          <w:rFonts w:ascii="Times New Roman" w:hAnsi="Times New Roman"/>
          <w:sz w:val="20"/>
          <w:szCs w:val="20"/>
          <w:lang w:val="en-US"/>
        </w:rPr>
        <w:t xml:space="preserve"> e </w:t>
      </w:r>
      <w:r w:rsidR="00742ABD">
        <w:rPr>
          <w:rFonts w:ascii="Times New Roman" w:hAnsi="Times New Roman"/>
          <w:sz w:val="20"/>
          <w:szCs w:val="20"/>
          <w:lang w:val="en-US"/>
        </w:rPr>
        <w:t>la C</w:t>
      </w:r>
      <w:r w:rsidRPr="009A1FFB">
        <w:rPr>
          <w:rFonts w:ascii="Times New Roman" w:hAnsi="Times New Roman"/>
          <w:i/>
          <w:iCs/>
          <w:sz w:val="20"/>
          <w:szCs w:val="20"/>
          <w:lang w:val="en-US"/>
        </w:rPr>
        <w:t>ogni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ti</w:t>
      </w:r>
      <w:r w:rsidRPr="009A1FFB">
        <w:rPr>
          <w:rFonts w:ascii="Times New Roman" w:hAnsi="Times New Roman"/>
          <w:i/>
          <w:iCs/>
          <w:sz w:val="20"/>
          <w:szCs w:val="20"/>
          <w:lang w:val="en-US"/>
        </w:rPr>
        <w:t xml:space="preserve">ve </w:t>
      </w:r>
      <w:r w:rsidR="00742ABD">
        <w:rPr>
          <w:rFonts w:ascii="Times New Roman" w:hAnsi="Times New Roman"/>
          <w:i/>
          <w:iCs/>
          <w:sz w:val="20"/>
          <w:szCs w:val="20"/>
          <w:lang w:val="en-US"/>
        </w:rPr>
        <w:t>W</w:t>
      </w:r>
      <w:r w:rsidRPr="009A1FFB">
        <w:rPr>
          <w:rFonts w:ascii="Times New Roman" w:hAnsi="Times New Roman"/>
          <w:i/>
          <w:iCs/>
          <w:sz w:val="20"/>
          <w:szCs w:val="20"/>
          <w:lang w:val="en-US"/>
        </w:rPr>
        <w:t>alkthrough</w:t>
      </w:r>
      <w:r w:rsidR="002835B0">
        <w:rPr>
          <w:rFonts w:ascii="Times New Roman" w:hAnsi="Times New Roman"/>
          <w:sz w:val="20"/>
          <w:szCs w:val="20"/>
          <w:lang w:val="en-US"/>
        </w:rPr>
        <w:t>;</w:t>
      </w:r>
    </w:p>
    <w:p w14:paraId="28B43A84" w14:textId="1C99500D" w:rsidR="009A1FFB" w:rsidRPr="002835B0" w:rsidRDefault="009A1FFB" w:rsidP="00EB1ACD">
      <w:pPr>
        <w:pStyle w:val="Paragrafoelenco"/>
        <w:numPr>
          <w:ilvl w:val="0"/>
          <w:numId w:val="1"/>
        </w:numPr>
        <w:spacing w:after="0" w:line="240" w:lineRule="exact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835B0">
        <w:rPr>
          <w:rFonts w:ascii="Times New Roman" w:hAnsi="Times New Roman"/>
          <w:sz w:val="20"/>
          <w:szCs w:val="20"/>
        </w:rPr>
        <w:t>L’</w:t>
      </w:r>
      <w:r w:rsidRPr="002835B0">
        <w:rPr>
          <w:rFonts w:ascii="Times New Roman" w:hAnsi="Times New Roman"/>
          <w:i/>
          <w:iCs/>
          <w:sz w:val="20"/>
          <w:szCs w:val="20"/>
        </w:rPr>
        <w:t>analisi euristica</w:t>
      </w:r>
      <w:r w:rsidR="002835B0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2835B0" w:rsidRPr="002835B0">
        <w:rPr>
          <w:rFonts w:ascii="Times New Roman" w:hAnsi="Times New Roman"/>
          <w:iCs/>
          <w:sz w:val="20"/>
          <w:szCs w:val="20"/>
        </w:rPr>
        <w:t>secondo J. Nielsen;</w:t>
      </w:r>
    </w:p>
    <w:p w14:paraId="0310F146" w14:textId="33F90449" w:rsidR="007D5FFA" w:rsidRPr="002835B0" w:rsidRDefault="007D5FFA" w:rsidP="00EB1ACD">
      <w:pPr>
        <w:pStyle w:val="Paragrafoelenco"/>
        <w:numPr>
          <w:ilvl w:val="0"/>
          <w:numId w:val="1"/>
        </w:numPr>
        <w:spacing w:after="0" w:line="240" w:lineRule="exact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835B0">
        <w:rPr>
          <w:rFonts w:ascii="Times New Roman" w:hAnsi="Times New Roman"/>
          <w:sz w:val="20"/>
          <w:szCs w:val="20"/>
        </w:rPr>
        <w:t xml:space="preserve">Lo </w:t>
      </w:r>
      <w:proofErr w:type="spellStart"/>
      <w:r w:rsidR="002835B0" w:rsidRPr="002835B0">
        <w:rPr>
          <w:rFonts w:ascii="Times New Roman" w:hAnsi="Times New Roman"/>
          <w:i/>
          <w:sz w:val="20"/>
          <w:szCs w:val="20"/>
        </w:rPr>
        <w:t>Usability</w:t>
      </w:r>
      <w:proofErr w:type="spellEnd"/>
      <w:r w:rsidRPr="002835B0">
        <w:rPr>
          <w:rFonts w:ascii="Times New Roman" w:hAnsi="Times New Roman"/>
          <w:i/>
          <w:sz w:val="20"/>
          <w:szCs w:val="20"/>
        </w:rPr>
        <w:t xml:space="preserve"> test</w:t>
      </w:r>
      <w:r w:rsidR="002835B0">
        <w:rPr>
          <w:rFonts w:ascii="Times New Roman" w:hAnsi="Times New Roman"/>
          <w:sz w:val="20"/>
          <w:szCs w:val="20"/>
        </w:rPr>
        <w:t>,</w:t>
      </w:r>
      <w:r w:rsidRPr="002835B0">
        <w:rPr>
          <w:rFonts w:ascii="Times New Roman" w:hAnsi="Times New Roman"/>
          <w:sz w:val="20"/>
          <w:szCs w:val="20"/>
        </w:rPr>
        <w:t xml:space="preserve"> il </w:t>
      </w:r>
      <w:proofErr w:type="spellStart"/>
      <w:r w:rsidRPr="002835B0">
        <w:rPr>
          <w:rFonts w:ascii="Times New Roman" w:hAnsi="Times New Roman"/>
          <w:i/>
          <w:sz w:val="20"/>
          <w:szCs w:val="20"/>
        </w:rPr>
        <w:t>Think</w:t>
      </w:r>
      <w:proofErr w:type="spellEnd"/>
      <w:r w:rsidRPr="002835B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835B0">
        <w:rPr>
          <w:rFonts w:ascii="Times New Roman" w:hAnsi="Times New Roman"/>
          <w:i/>
          <w:sz w:val="20"/>
          <w:szCs w:val="20"/>
        </w:rPr>
        <w:t>Aloud</w:t>
      </w:r>
      <w:proofErr w:type="spellEnd"/>
      <w:r w:rsidR="002835B0">
        <w:rPr>
          <w:rFonts w:ascii="Times New Roman" w:hAnsi="Times New Roman"/>
          <w:i/>
          <w:sz w:val="20"/>
          <w:szCs w:val="20"/>
        </w:rPr>
        <w:t xml:space="preserve"> </w:t>
      </w:r>
      <w:r w:rsidR="002835B0" w:rsidRPr="002835B0">
        <w:rPr>
          <w:rFonts w:ascii="Times New Roman" w:hAnsi="Times New Roman"/>
          <w:sz w:val="20"/>
          <w:szCs w:val="20"/>
        </w:rPr>
        <w:t>e il</w:t>
      </w:r>
      <w:r w:rsidR="002835B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2835B0">
        <w:rPr>
          <w:rFonts w:ascii="Times New Roman" w:hAnsi="Times New Roman"/>
          <w:i/>
          <w:sz w:val="20"/>
          <w:szCs w:val="20"/>
        </w:rPr>
        <w:t>retrospective</w:t>
      </w:r>
      <w:proofErr w:type="spellEnd"/>
      <w:r w:rsidR="002835B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2835B0">
        <w:rPr>
          <w:rFonts w:ascii="Times New Roman" w:hAnsi="Times New Roman"/>
          <w:i/>
          <w:sz w:val="20"/>
          <w:szCs w:val="20"/>
        </w:rPr>
        <w:t>Think</w:t>
      </w:r>
      <w:proofErr w:type="spellEnd"/>
      <w:r w:rsidR="002835B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2835B0">
        <w:rPr>
          <w:rFonts w:ascii="Times New Roman" w:hAnsi="Times New Roman"/>
          <w:i/>
          <w:sz w:val="20"/>
          <w:szCs w:val="20"/>
        </w:rPr>
        <w:t>Aloud</w:t>
      </w:r>
      <w:proofErr w:type="spellEnd"/>
      <w:r w:rsidRPr="002835B0">
        <w:rPr>
          <w:rFonts w:ascii="Times New Roman" w:hAnsi="Times New Roman"/>
          <w:sz w:val="20"/>
          <w:szCs w:val="20"/>
        </w:rPr>
        <w:t>;</w:t>
      </w:r>
      <w:r w:rsidRPr="002835B0">
        <w:rPr>
          <w:rFonts w:ascii="Times New Roman" w:hAnsi="Times New Roman"/>
          <w:i/>
          <w:sz w:val="20"/>
          <w:szCs w:val="20"/>
        </w:rPr>
        <w:t xml:space="preserve"> </w:t>
      </w:r>
    </w:p>
    <w:p w14:paraId="27697AF9" w14:textId="0A54DDDF" w:rsidR="008E3D9C" w:rsidRDefault="008E3D9C" w:rsidP="00EB1ACD">
      <w:pPr>
        <w:pStyle w:val="Paragrafoelenco"/>
        <w:numPr>
          <w:ilvl w:val="0"/>
          <w:numId w:val="1"/>
        </w:numPr>
        <w:spacing w:after="0" w:line="240" w:lineRule="exact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L’uso di tipologie di </w:t>
      </w:r>
      <w:r>
        <w:rPr>
          <w:rFonts w:ascii="Times New Roman" w:hAnsi="Times New Roman"/>
          <w:i/>
          <w:iCs/>
          <w:sz w:val="20"/>
          <w:szCs w:val="20"/>
        </w:rPr>
        <w:t>T</w:t>
      </w:r>
      <w:r w:rsidRPr="008E3D9C">
        <w:rPr>
          <w:rFonts w:ascii="Times New Roman" w:hAnsi="Times New Roman"/>
          <w:i/>
          <w:iCs/>
          <w:sz w:val="20"/>
          <w:szCs w:val="20"/>
        </w:rPr>
        <w:t>argeting</w:t>
      </w:r>
      <w:r>
        <w:rPr>
          <w:rFonts w:ascii="Times New Roman" w:hAnsi="Times New Roman"/>
          <w:sz w:val="20"/>
          <w:szCs w:val="20"/>
        </w:rPr>
        <w:t xml:space="preserve">, definizione di </w:t>
      </w:r>
      <w:proofErr w:type="spellStart"/>
      <w:r w:rsidRPr="008E3D9C">
        <w:rPr>
          <w:rFonts w:ascii="Times New Roman" w:hAnsi="Times New Roman"/>
          <w:i/>
          <w:iCs/>
          <w:sz w:val="20"/>
          <w:szCs w:val="20"/>
        </w:rPr>
        <w:t>Personas</w:t>
      </w:r>
      <w:proofErr w:type="spellEnd"/>
      <w:r>
        <w:rPr>
          <w:rFonts w:ascii="Times New Roman" w:hAnsi="Times New Roman"/>
          <w:sz w:val="20"/>
          <w:szCs w:val="20"/>
        </w:rPr>
        <w:t xml:space="preserve"> e di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E</w:t>
      </w:r>
      <w:r w:rsidRPr="008E3D9C">
        <w:rPr>
          <w:rFonts w:ascii="Times New Roman" w:hAnsi="Times New Roman"/>
          <w:i/>
          <w:iCs/>
          <w:sz w:val="20"/>
          <w:szCs w:val="20"/>
        </w:rPr>
        <w:t>mpathy</w:t>
      </w:r>
      <w:proofErr w:type="spellEnd"/>
      <w:r w:rsidRPr="008E3D9C"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M</w:t>
      </w:r>
      <w:r w:rsidRPr="008E3D9C">
        <w:rPr>
          <w:rFonts w:ascii="Times New Roman" w:hAnsi="Times New Roman"/>
          <w:i/>
          <w:iCs/>
          <w:sz w:val="20"/>
          <w:szCs w:val="20"/>
        </w:rPr>
        <w:t>aps</w:t>
      </w:r>
      <w:r>
        <w:rPr>
          <w:rFonts w:ascii="Times New Roman" w:hAnsi="Times New Roman"/>
          <w:sz w:val="20"/>
          <w:szCs w:val="20"/>
        </w:rPr>
        <w:t>;</w:t>
      </w:r>
    </w:p>
    <w:p w14:paraId="5D8AF4CD" w14:textId="30F81161" w:rsidR="007D5FFA" w:rsidRDefault="007D5FFA" w:rsidP="00EB1ACD">
      <w:pPr>
        <w:pStyle w:val="Paragrafoelenco"/>
        <w:numPr>
          <w:ilvl w:val="0"/>
          <w:numId w:val="1"/>
        </w:numPr>
        <w:spacing w:after="0" w:line="240" w:lineRule="exact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966E29">
        <w:rPr>
          <w:rFonts w:ascii="Times New Roman" w:hAnsi="Times New Roman"/>
          <w:sz w:val="20"/>
          <w:szCs w:val="20"/>
        </w:rPr>
        <w:t xml:space="preserve">I </w:t>
      </w:r>
      <w:r w:rsidRPr="00966E29">
        <w:rPr>
          <w:rFonts w:ascii="Times New Roman" w:hAnsi="Times New Roman"/>
          <w:i/>
          <w:sz w:val="20"/>
          <w:szCs w:val="20"/>
        </w:rPr>
        <w:t xml:space="preserve">metodi </w:t>
      </w:r>
      <w:r w:rsidRPr="00966E29">
        <w:rPr>
          <w:rFonts w:ascii="Times New Roman" w:hAnsi="Times New Roman"/>
          <w:sz w:val="20"/>
          <w:szCs w:val="20"/>
        </w:rPr>
        <w:t>basati su</w:t>
      </w:r>
      <w:r w:rsidRPr="00966E29">
        <w:rPr>
          <w:rFonts w:ascii="Times New Roman" w:hAnsi="Times New Roman"/>
          <w:i/>
          <w:sz w:val="20"/>
          <w:szCs w:val="20"/>
        </w:rPr>
        <w:t xml:space="preserve"> Eye-Tracking</w:t>
      </w:r>
      <w:r w:rsidR="009A1FFB">
        <w:rPr>
          <w:rFonts w:ascii="Times New Roman" w:hAnsi="Times New Roman"/>
          <w:i/>
          <w:sz w:val="20"/>
          <w:szCs w:val="20"/>
        </w:rPr>
        <w:t xml:space="preserve">, </w:t>
      </w:r>
      <w:r w:rsidR="008E3D9C">
        <w:rPr>
          <w:rFonts w:ascii="Times New Roman" w:hAnsi="Times New Roman"/>
          <w:i/>
          <w:sz w:val="20"/>
          <w:szCs w:val="20"/>
        </w:rPr>
        <w:t>Analisi Automatica delle E</w:t>
      </w:r>
      <w:r w:rsidR="009A1FFB">
        <w:rPr>
          <w:rFonts w:ascii="Times New Roman" w:hAnsi="Times New Roman"/>
          <w:i/>
          <w:sz w:val="20"/>
          <w:szCs w:val="20"/>
        </w:rPr>
        <w:t xml:space="preserve">spressioni del </w:t>
      </w:r>
      <w:r w:rsidR="008E3D9C">
        <w:rPr>
          <w:rFonts w:ascii="Times New Roman" w:hAnsi="Times New Roman"/>
          <w:i/>
          <w:sz w:val="20"/>
          <w:szCs w:val="20"/>
        </w:rPr>
        <w:t>V</w:t>
      </w:r>
      <w:r w:rsidR="009A1FFB">
        <w:rPr>
          <w:rFonts w:ascii="Times New Roman" w:hAnsi="Times New Roman"/>
          <w:i/>
          <w:sz w:val="20"/>
          <w:szCs w:val="20"/>
        </w:rPr>
        <w:t>olto</w:t>
      </w:r>
      <w:r w:rsidRPr="00966E29">
        <w:rPr>
          <w:rFonts w:ascii="Times New Roman" w:hAnsi="Times New Roman"/>
          <w:i/>
          <w:sz w:val="20"/>
          <w:szCs w:val="20"/>
        </w:rPr>
        <w:t xml:space="preserve"> </w:t>
      </w:r>
      <w:r w:rsidRPr="00966E29">
        <w:rPr>
          <w:rFonts w:ascii="Times New Roman" w:hAnsi="Times New Roman"/>
          <w:sz w:val="20"/>
          <w:szCs w:val="20"/>
        </w:rPr>
        <w:t xml:space="preserve">e </w:t>
      </w:r>
      <w:r w:rsidRPr="00966E29">
        <w:rPr>
          <w:rFonts w:ascii="Times New Roman" w:hAnsi="Times New Roman"/>
          <w:i/>
          <w:sz w:val="20"/>
          <w:szCs w:val="20"/>
        </w:rPr>
        <w:t xml:space="preserve">misurazioni </w:t>
      </w:r>
      <w:r w:rsidR="008E3D9C">
        <w:rPr>
          <w:rFonts w:ascii="Times New Roman" w:hAnsi="Times New Roman"/>
          <w:i/>
          <w:sz w:val="20"/>
          <w:szCs w:val="20"/>
        </w:rPr>
        <w:t>N</w:t>
      </w:r>
      <w:r w:rsidRPr="00966E29">
        <w:rPr>
          <w:rFonts w:ascii="Times New Roman" w:hAnsi="Times New Roman"/>
          <w:i/>
          <w:sz w:val="20"/>
          <w:szCs w:val="20"/>
        </w:rPr>
        <w:t xml:space="preserve">euro- e </w:t>
      </w:r>
      <w:r w:rsidR="008E3D9C">
        <w:rPr>
          <w:rFonts w:ascii="Times New Roman" w:hAnsi="Times New Roman"/>
          <w:i/>
          <w:sz w:val="20"/>
          <w:szCs w:val="20"/>
        </w:rPr>
        <w:t>P</w:t>
      </w:r>
      <w:r w:rsidRPr="00966E29">
        <w:rPr>
          <w:rFonts w:ascii="Times New Roman" w:hAnsi="Times New Roman"/>
          <w:i/>
          <w:sz w:val="20"/>
          <w:szCs w:val="20"/>
        </w:rPr>
        <w:t>sico-fisiologiche</w:t>
      </w:r>
      <w:r w:rsidRPr="00D315AA">
        <w:rPr>
          <w:rFonts w:ascii="Times New Roman" w:hAnsi="Times New Roman"/>
          <w:sz w:val="20"/>
          <w:szCs w:val="20"/>
        </w:rPr>
        <w:t>;</w:t>
      </w:r>
    </w:p>
    <w:bookmarkEnd w:id="1"/>
    <w:p w14:paraId="07579B69" w14:textId="77203C35" w:rsidR="007D5FFA" w:rsidRDefault="007D5FFA" w:rsidP="00EB1ACD">
      <w:pPr>
        <w:spacing w:before="120" w:line="240" w:lineRule="exact"/>
        <w:rPr>
          <w:szCs w:val="20"/>
        </w:rPr>
      </w:pPr>
      <w:r w:rsidRPr="00AB468E">
        <w:rPr>
          <w:szCs w:val="20"/>
        </w:rPr>
        <w:t xml:space="preserve">La parte </w:t>
      </w:r>
      <w:r w:rsidRPr="00EB1ACD">
        <w:rPr>
          <w:i/>
          <w:szCs w:val="20"/>
        </w:rPr>
        <w:t>pratica</w:t>
      </w:r>
      <w:r w:rsidRPr="00AB468E">
        <w:rPr>
          <w:szCs w:val="20"/>
        </w:rPr>
        <w:t xml:space="preserve"> consiste in esercitazioni</w:t>
      </w:r>
      <w:r>
        <w:rPr>
          <w:szCs w:val="20"/>
        </w:rPr>
        <w:t>,</w:t>
      </w:r>
      <w:r w:rsidRPr="00AB468E">
        <w:rPr>
          <w:szCs w:val="20"/>
        </w:rPr>
        <w:t xml:space="preserve"> </w:t>
      </w:r>
      <w:r w:rsidR="009A1FFB">
        <w:rPr>
          <w:szCs w:val="20"/>
        </w:rPr>
        <w:t xml:space="preserve">individuali e/o </w:t>
      </w:r>
      <w:r w:rsidRPr="00AB468E">
        <w:rPr>
          <w:szCs w:val="20"/>
        </w:rPr>
        <w:t>in piccol</w:t>
      </w:r>
      <w:r>
        <w:rPr>
          <w:szCs w:val="20"/>
        </w:rPr>
        <w:t>i</w:t>
      </w:r>
      <w:r w:rsidRPr="00AB468E">
        <w:rPr>
          <w:szCs w:val="20"/>
        </w:rPr>
        <w:t xml:space="preserve"> grupp</w:t>
      </w:r>
      <w:r>
        <w:rPr>
          <w:szCs w:val="20"/>
        </w:rPr>
        <w:t>i,</w:t>
      </w:r>
      <w:r w:rsidRPr="00AB468E">
        <w:rPr>
          <w:szCs w:val="20"/>
        </w:rPr>
        <w:t xml:space="preserve"> focalizzate sul</w:t>
      </w:r>
      <w:r w:rsidR="002835B0">
        <w:rPr>
          <w:szCs w:val="20"/>
        </w:rPr>
        <w:t>l’apprendimento esperienziale d</w:t>
      </w:r>
      <w:r w:rsidRPr="00AB468E">
        <w:rPr>
          <w:szCs w:val="20"/>
        </w:rPr>
        <w:t xml:space="preserve">i </w:t>
      </w:r>
      <w:r w:rsidR="002835B0">
        <w:rPr>
          <w:szCs w:val="20"/>
        </w:rPr>
        <w:t xml:space="preserve">alcuni dei </w:t>
      </w:r>
      <w:r w:rsidRPr="00AB468E">
        <w:rPr>
          <w:szCs w:val="20"/>
        </w:rPr>
        <w:t>metodi sopra elencati</w:t>
      </w:r>
      <w:r w:rsidR="009A1FFB">
        <w:rPr>
          <w:szCs w:val="20"/>
        </w:rPr>
        <w:t xml:space="preserve">, rielaborate attraverso delle sintesi </w:t>
      </w:r>
      <w:r w:rsidR="008E3D9C">
        <w:rPr>
          <w:szCs w:val="20"/>
        </w:rPr>
        <w:t>(su word</w:t>
      </w:r>
      <w:r w:rsidR="002835B0">
        <w:rPr>
          <w:szCs w:val="20"/>
        </w:rPr>
        <w:t xml:space="preserve">, </w:t>
      </w:r>
      <w:proofErr w:type="spellStart"/>
      <w:r w:rsidR="002835B0">
        <w:rPr>
          <w:szCs w:val="20"/>
        </w:rPr>
        <w:t>excel</w:t>
      </w:r>
      <w:proofErr w:type="spellEnd"/>
      <w:r w:rsidR="008E3D9C">
        <w:rPr>
          <w:szCs w:val="20"/>
        </w:rPr>
        <w:t xml:space="preserve"> e/o power point)</w:t>
      </w:r>
      <w:r w:rsidR="009A1FFB">
        <w:rPr>
          <w:szCs w:val="20"/>
        </w:rPr>
        <w:t xml:space="preserve"> da inviare al docente tramite e</w:t>
      </w:r>
      <w:r w:rsidR="008E3D9C">
        <w:rPr>
          <w:szCs w:val="20"/>
        </w:rPr>
        <w:t>-</w:t>
      </w:r>
      <w:r w:rsidR="009A1FFB">
        <w:rPr>
          <w:szCs w:val="20"/>
        </w:rPr>
        <w:t>mail</w:t>
      </w:r>
      <w:r w:rsidRPr="00AB468E">
        <w:rPr>
          <w:szCs w:val="20"/>
        </w:rPr>
        <w:t>.</w:t>
      </w:r>
      <w:r w:rsidR="009A1FFB">
        <w:rPr>
          <w:szCs w:val="20"/>
        </w:rPr>
        <w:t xml:space="preserve"> Tutti gli elaborati riceveranno una valutazione sul lavoro svolto</w:t>
      </w:r>
      <w:r w:rsidR="008E3D9C">
        <w:rPr>
          <w:szCs w:val="20"/>
        </w:rPr>
        <w:t xml:space="preserve"> dallo studente, volta a migliorare l’applicazione dei principi teorici e dei metodi alle attività pratiche</w:t>
      </w:r>
      <w:r w:rsidR="009A1FFB">
        <w:rPr>
          <w:szCs w:val="20"/>
        </w:rPr>
        <w:t xml:space="preserve">. </w:t>
      </w:r>
    </w:p>
    <w:p w14:paraId="46F1AF09" w14:textId="5183784B" w:rsidR="007D5FFA" w:rsidRPr="00EB1ACD" w:rsidRDefault="007D5FFA" w:rsidP="00EB1AC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C660B0">
        <w:rPr>
          <w:rStyle w:val="Rimandonotaapidipagina"/>
          <w:b/>
          <w:i/>
          <w:sz w:val="18"/>
        </w:rPr>
        <w:footnoteReference w:id="1"/>
      </w:r>
    </w:p>
    <w:p w14:paraId="40D4C655" w14:textId="0ECA8DF2" w:rsidR="00EB1ACD" w:rsidRPr="00C660B0" w:rsidRDefault="007D5FFA" w:rsidP="00C660B0">
      <w:r>
        <w:rPr>
          <w:smallCaps/>
          <w:spacing w:val="-5"/>
          <w:sz w:val="16"/>
        </w:rPr>
        <w:t>S. Triberti-E. Brivio</w:t>
      </w:r>
      <w:r w:rsidRPr="007D5FFA">
        <w:rPr>
          <w:smallCaps/>
          <w:spacing w:val="-5"/>
          <w:sz w:val="16"/>
        </w:rPr>
        <w:t>,</w:t>
      </w:r>
      <w:r w:rsidRPr="007D5FFA">
        <w:rPr>
          <w:i/>
          <w:spacing w:val="-5"/>
        </w:rPr>
        <w:t xml:space="preserve"> User Experience: Psicologia degli Oggetti,</w:t>
      </w:r>
      <w:r w:rsidRPr="007D5FFA">
        <w:rPr>
          <w:spacing w:val="-5"/>
        </w:rPr>
        <w:t xml:space="preserve"> degli Utenti e dei Contesti d’Uso, Maggioli, Milano, 2017</w:t>
      </w:r>
      <w:r w:rsidR="00EB1ACD">
        <w:rPr>
          <w:spacing w:val="-5"/>
        </w:rPr>
        <w:t>.</w:t>
      </w:r>
      <w:r w:rsidR="00DE5436">
        <w:rPr>
          <w:spacing w:val="-5"/>
        </w:rPr>
        <w:t xml:space="preserve"> </w:t>
      </w:r>
      <w:hyperlink r:id="rId8" w:history="1">
        <w:r w:rsidR="00C660B0" w:rsidRPr="00E931E1">
          <w:rPr>
            <w:i/>
            <w:color w:val="0563C1"/>
            <w:u w:val="single"/>
          </w:rPr>
          <w:t>Acquista da VP</w:t>
        </w:r>
      </w:hyperlink>
    </w:p>
    <w:p w14:paraId="410A68DD" w14:textId="274E24C3" w:rsidR="00C660B0" w:rsidRPr="00C660B0" w:rsidRDefault="007D5FFA" w:rsidP="00C660B0">
      <w:pPr>
        <w:pStyle w:val="Testo2"/>
        <w:spacing w:line="240" w:lineRule="atLeast"/>
        <w:ind w:left="284" w:hanging="284"/>
        <w:rPr>
          <w:spacing w:val="-5"/>
        </w:rPr>
      </w:pPr>
      <w:r w:rsidRPr="00EF5A27">
        <w:rPr>
          <w:smallCaps/>
          <w:spacing w:val="-5"/>
          <w:sz w:val="16"/>
        </w:rPr>
        <w:t>F. Di Nocera</w:t>
      </w:r>
      <w:r w:rsidRPr="007D5FFA">
        <w:rPr>
          <w:smallCaps/>
          <w:spacing w:val="-5"/>
          <w:sz w:val="16"/>
        </w:rPr>
        <w:t>,</w:t>
      </w:r>
      <w:r w:rsidRPr="007D5FFA">
        <w:rPr>
          <w:i/>
          <w:spacing w:val="-5"/>
        </w:rPr>
        <w:t xml:space="preserve"> Ergonomia Cognitiva,</w:t>
      </w:r>
      <w:r w:rsidRPr="007D5FFA">
        <w:rPr>
          <w:spacing w:val="-5"/>
        </w:rPr>
        <w:t xml:space="preserve"> Carocci, Roma, 2011.</w:t>
      </w:r>
      <w:r w:rsidR="00DE5436">
        <w:rPr>
          <w:spacing w:val="-5"/>
        </w:rPr>
        <w:t xml:space="preserve"> </w:t>
      </w:r>
      <w:bookmarkStart w:id="4" w:name="_Hlk140133243"/>
      <w:r w:rsidR="00C660B0">
        <w:rPr>
          <w:spacing w:val="-5"/>
        </w:rPr>
        <w:t xml:space="preserve"> </w:t>
      </w:r>
      <w:hyperlink r:id="rId9" w:history="1">
        <w:r w:rsidR="00C660B0" w:rsidRPr="00E931E1">
          <w:rPr>
            <w:rFonts w:ascii="Times New Roman" w:hAnsi="Times New Roman"/>
            <w:i/>
            <w:color w:val="0563C1"/>
            <w:sz w:val="20"/>
            <w:szCs w:val="24"/>
            <w:u w:val="single"/>
          </w:rPr>
          <w:t>Acquista da VP</w:t>
        </w:r>
      </w:hyperlink>
      <w:bookmarkEnd w:id="4"/>
    </w:p>
    <w:p w14:paraId="78DE0287" w14:textId="30FC884A" w:rsidR="007D5FFA" w:rsidRPr="007D5FFA" w:rsidRDefault="007D5FFA" w:rsidP="007D5FFA">
      <w:pPr>
        <w:pStyle w:val="Testo2"/>
        <w:spacing w:line="240" w:lineRule="atLeast"/>
        <w:ind w:left="284" w:hanging="284"/>
        <w:rPr>
          <w:spacing w:val="-5"/>
        </w:rPr>
      </w:pPr>
      <w:r>
        <w:rPr>
          <w:smallCaps/>
          <w:spacing w:val="-5"/>
          <w:sz w:val="16"/>
        </w:rPr>
        <w:t>D</w:t>
      </w:r>
      <w:r w:rsidRPr="00134E13">
        <w:rPr>
          <w:smallCaps/>
          <w:spacing w:val="-5"/>
          <w:sz w:val="16"/>
        </w:rPr>
        <w:t xml:space="preserve">. </w:t>
      </w:r>
      <w:r>
        <w:rPr>
          <w:smallCaps/>
          <w:spacing w:val="-5"/>
          <w:sz w:val="16"/>
        </w:rPr>
        <w:t>Benyon</w:t>
      </w:r>
      <w:r w:rsidRPr="007D5FFA">
        <w:rPr>
          <w:smallCaps/>
          <w:spacing w:val="-5"/>
          <w:sz w:val="16"/>
        </w:rPr>
        <w:t>,</w:t>
      </w:r>
      <w:r w:rsidRPr="007D5FFA">
        <w:rPr>
          <w:i/>
          <w:smallCaps/>
          <w:spacing w:val="-5"/>
          <w:sz w:val="16"/>
        </w:rPr>
        <w:t xml:space="preserve"> </w:t>
      </w:r>
      <w:r w:rsidRPr="007D5FFA">
        <w:rPr>
          <w:i/>
          <w:spacing w:val="-5"/>
        </w:rPr>
        <w:t>Progettare l’interazone. Metodi e Tecniche per il design di media interattivi,</w:t>
      </w:r>
      <w:r w:rsidRPr="007D5FFA">
        <w:rPr>
          <w:spacing w:val="-5"/>
        </w:rPr>
        <w:t xml:space="preserve"> a cura di G. Riva, Pearson, Londra, 2011.</w:t>
      </w:r>
      <w:r w:rsidR="00DE5436">
        <w:rPr>
          <w:spacing w:val="-5"/>
        </w:rPr>
        <w:t xml:space="preserve"> </w:t>
      </w:r>
    </w:p>
    <w:p w14:paraId="7813EAC1" w14:textId="77777777" w:rsidR="007D5FFA" w:rsidRDefault="007D5FFA" w:rsidP="007D5FF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F21D5BE" w14:textId="77777777" w:rsidR="007D5FFA" w:rsidRPr="007D5FFA" w:rsidRDefault="007D5FFA" w:rsidP="007D5FFA">
      <w:pPr>
        <w:pStyle w:val="Testo2"/>
      </w:pPr>
      <w:r w:rsidRPr="007D5FFA">
        <w:t xml:space="preserve">Lezioni frontali in aula e lavori pratici guidati. </w:t>
      </w:r>
    </w:p>
    <w:p w14:paraId="40119597" w14:textId="77777777" w:rsidR="007D5FFA" w:rsidRDefault="007D5FFA" w:rsidP="007D5FF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DA4AB34" w14:textId="67810D39" w:rsidR="007D5FFA" w:rsidRPr="007D5FFA" w:rsidRDefault="007D5FFA" w:rsidP="007D5FFA">
      <w:pPr>
        <w:pStyle w:val="Testo2"/>
      </w:pPr>
      <w:r w:rsidRPr="007D5FFA">
        <w:t>La valutazione si basa su</w:t>
      </w:r>
      <w:r w:rsidR="00AA6213">
        <w:t>gli</w:t>
      </w:r>
      <w:r w:rsidRPr="007D5FFA">
        <w:t xml:space="preserve"> elaborat</w:t>
      </w:r>
      <w:r w:rsidR="008E3D9C">
        <w:t>i individuali e/o</w:t>
      </w:r>
      <w:r w:rsidRPr="007D5FFA">
        <w:t xml:space="preserve"> di gruppo da parte degli studenti, i quali concordano con il docente </w:t>
      </w:r>
      <w:r w:rsidR="008E3D9C">
        <w:t>un sitoweb</w:t>
      </w:r>
      <w:r w:rsidRPr="007D5FFA">
        <w:t xml:space="preserve">, un servizio tecnologico, un’attività mediata da tecnologia o l’analisi di una case-hisotry specifica che viene fatta oggetto di valutazione; nell’elaborato, gli studenti applicano una o più tecniche apprese nel corso. Ogni studente </w:t>
      </w:r>
      <w:r w:rsidR="003C1AA0">
        <w:t xml:space="preserve">frequentante, </w:t>
      </w:r>
      <w:r w:rsidR="008E3D9C">
        <w:t>riceve una valutazione sull</w:t>
      </w:r>
      <w:r w:rsidRPr="007D5FFA">
        <w:t xml:space="preserve">’elaborato </w:t>
      </w:r>
      <w:r w:rsidR="008E3D9C">
        <w:t xml:space="preserve">individuale e/o </w:t>
      </w:r>
      <w:r w:rsidRPr="007D5FFA">
        <w:t xml:space="preserve">del proprio gruppo nel contesto di </w:t>
      </w:r>
      <w:r w:rsidR="002835B0">
        <w:t xml:space="preserve">una valutazione condivisa dal docente con lo studente in modo individuale, affinchè lo studente possa eventualmente integrare i cambiamenti richiesti per raggiungere il livello sufficientmente adeguato per considerare l’elaborato come una prova intermedia superata con successo.  </w:t>
      </w:r>
      <w:r w:rsidR="003C1AA0">
        <w:t xml:space="preserve">Gli studenti frequentanti che ottengono valutazione positiva per tutte le prove intermedie rappresentate dagli elaborati (nel numero minimo di 4 o 5) potranno non presentarsi all’esame orale, essendo la loro valutazione basata sulla realizzazione con successo di tutte le prove intermedie. Per gli studenti non frequentanti, la valutazione si basa su di </w:t>
      </w:r>
      <w:r w:rsidRPr="007D5FFA">
        <w:t>colloquio individuale con il docente, focalizzato</w:t>
      </w:r>
      <w:r w:rsidR="003C1AA0">
        <w:t xml:space="preserve"> in particolare sulla capacità di spiegare le</w:t>
      </w:r>
      <w:r w:rsidRPr="007D5FFA">
        <w:t xml:space="preserve"> </w:t>
      </w:r>
      <w:r w:rsidR="003C1AA0">
        <w:t>tecniche presentate nel corso</w:t>
      </w:r>
      <w:r w:rsidRPr="007D5FFA">
        <w:t xml:space="preserve"> e della loro afferenza teorica. Il colloquio comprende anche domande sulle tematiche affrontate a lezione e i contenuti del testo di riferimento</w:t>
      </w:r>
      <w:r w:rsidR="00820F2B">
        <w:t xml:space="preserve"> obbligagorio (“</w:t>
      </w:r>
      <w:r w:rsidR="00820F2B" w:rsidRPr="007D5FFA">
        <w:rPr>
          <w:i/>
          <w:spacing w:val="-5"/>
        </w:rPr>
        <w:t xml:space="preserve">User Experience: </w:t>
      </w:r>
      <w:r w:rsidR="00820F2B" w:rsidRPr="00820F2B">
        <w:rPr>
          <w:i/>
          <w:spacing w:val="-5"/>
        </w:rPr>
        <w:t>Psicologia degli Oggetti, degli Utenti e dei Contesti d’Uso</w:t>
      </w:r>
      <w:r w:rsidR="00820F2B">
        <w:t>”, vd. bibliografia)</w:t>
      </w:r>
      <w:r w:rsidRPr="007D5FFA">
        <w:t xml:space="preserve">. </w:t>
      </w:r>
    </w:p>
    <w:p w14:paraId="3148D291" w14:textId="77777777" w:rsidR="007D5FFA" w:rsidRDefault="007D5FFA" w:rsidP="007D5FF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1C2D513" w14:textId="77777777" w:rsidR="007D5FFA" w:rsidRPr="002F413D" w:rsidRDefault="007D5FFA" w:rsidP="007D5FFA">
      <w:pPr>
        <w:pStyle w:val="Testo2"/>
        <w:rPr>
          <w:i/>
        </w:rPr>
      </w:pPr>
      <w:r w:rsidRPr="002F413D">
        <w:rPr>
          <w:i/>
        </w:rPr>
        <w:t>Orario e luogo di ricevimento</w:t>
      </w:r>
    </w:p>
    <w:p w14:paraId="3A750FEC" w14:textId="6E42F46A" w:rsidR="007D5FFA" w:rsidRPr="007D5FFA" w:rsidRDefault="007D5FFA" w:rsidP="007D5FFA">
      <w:pPr>
        <w:pStyle w:val="Testo2"/>
      </w:pPr>
      <w:r w:rsidRPr="007D5FFA">
        <w:t xml:space="preserve">Il Prof. Maurizio Mauri riceve gli studenti su appuntamento da concordarsi tramite e-mail: </w:t>
      </w:r>
      <w:hyperlink r:id="rId10" w:history="1">
        <w:r w:rsidR="002835B0" w:rsidRPr="00B84FDA">
          <w:rPr>
            <w:rStyle w:val="Collegamentoipertestuale"/>
            <w:i/>
          </w:rPr>
          <w:t>maurizio.mauri@unicatt.it</w:t>
        </w:r>
      </w:hyperlink>
      <w:r w:rsidR="002835B0">
        <w:rPr>
          <w:i/>
        </w:rPr>
        <w:t xml:space="preserve"> </w:t>
      </w:r>
      <w:r w:rsidRPr="007D5FFA">
        <w:rPr>
          <w:rStyle w:val="Collegamentoipertestuale"/>
          <w:color w:val="auto"/>
          <w:u w:val="none"/>
        </w:rPr>
        <w:t>.</w:t>
      </w:r>
    </w:p>
    <w:sectPr w:rsidR="007D5FFA" w:rsidRPr="007D5FF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F3665" w14:textId="77777777" w:rsidR="00B9583F" w:rsidRDefault="00B9583F" w:rsidP="007D5FFA">
      <w:pPr>
        <w:spacing w:line="240" w:lineRule="auto"/>
      </w:pPr>
      <w:r>
        <w:separator/>
      </w:r>
    </w:p>
  </w:endnote>
  <w:endnote w:type="continuationSeparator" w:id="0">
    <w:p w14:paraId="60EE9401" w14:textId="77777777" w:rsidR="00B9583F" w:rsidRDefault="00B9583F" w:rsidP="007D5F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C38D7" w14:textId="77777777" w:rsidR="00B9583F" w:rsidRDefault="00B9583F" w:rsidP="007D5FFA">
      <w:pPr>
        <w:spacing w:line="240" w:lineRule="auto"/>
      </w:pPr>
      <w:r>
        <w:separator/>
      </w:r>
    </w:p>
  </w:footnote>
  <w:footnote w:type="continuationSeparator" w:id="0">
    <w:p w14:paraId="2C0E536B" w14:textId="77777777" w:rsidR="00B9583F" w:rsidRDefault="00B9583F" w:rsidP="007D5FFA">
      <w:pPr>
        <w:spacing w:line="240" w:lineRule="auto"/>
      </w:pPr>
      <w:r>
        <w:continuationSeparator/>
      </w:r>
    </w:p>
  </w:footnote>
  <w:footnote w:id="1">
    <w:p w14:paraId="354AC366" w14:textId="77777777" w:rsidR="00C660B0" w:rsidRDefault="00C660B0" w:rsidP="00C660B0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2" w:name="_Hlk140133184"/>
      <w:bookmarkStart w:id="3" w:name="_Hlk140133383"/>
      <w:r w:rsidRPr="00E931E1">
        <w:rPr>
          <w:sz w:val="16"/>
          <w:szCs w:val="16"/>
        </w:rPr>
        <w:t>I testi indicati nella bibliografia sono acquistabili presso le librerie di Ateneo; è possibile acquistarli anche presso altri rivenditori.</w:t>
      </w:r>
      <w:bookmarkEnd w:id="2"/>
    </w:p>
    <w:bookmarkEnd w:id="3"/>
    <w:p w14:paraId="3BAAB647" w14:textId="1036F15B" w:rsidR="00C660B0" w:rsidRDefault="00C660B0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C4A3D"/>
    <w:multiLevelType w:val="hybridMultilevel"/>
    <w:tmpl w:val="8E76CC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855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5D"/>
    <w:rsid w:val="00187B99"/>
    <w:rsid w:val="002014DD"/>
    <w:rsid w:val="002835B0"/>
    <w:rsid w:val="002D5E17"/>
    <w:rsid w:val="003C1AA0"/>
    <w:rsid w:val="003D5476"/>
    <w:rsid w:val="004D1217"/>
    <w:rsid w:val="004D6008"/>
    <w:rsid w:val="00624CBB"/>
    <w:rsid w:val="00640794"/>
    <w:rsid w:val="006F1772"/>
    <w:rsid w:val="00742ABD"/>
    <w:rsid w:val="007A568A"/>
    <w:rsid w:val="007D5FFA"/>
    <w:rsid w:val="00820F2B"/>
    <w:rsid w:val="008942E7"/>
    <w:rsid w:val="008A1204"/>
    <w:rsid w:val="008E3D9C"/>
    <w:rsid w:val="00900CCA"/>
    <w:rsid w:val="00924B77"/>
    <w:rsid w:val="00940DA2"/>
    <w:rsid w:val="0095705D"/>
    <w:rsid w:val="009A1FFB"/>
    <w:rsid w:val="009E055C"/>
    <w:rsid w:val="00A74F6F"/>
    <w:rsid w:val="00AA6213"/>
    <w:rsid w:val="00AD7557"/>
    <w:rsid w:val="00B50C5D"/>
    <w:rsid w:val="00B51253"/>
    <w:rsid w:val="00B525CC"/>
    <w:rsid w:val="00B9583F"/>
    <w:rsid w:val="00C660B0"/>
    <w:rsid w:val="00D12C39"/>
    <w:rsid w:val="00D404F2"/>
    <w:rsid w:val="00DE5436"/>
    <w:rsid w:val="00E607E6"/>
    <w:rsid w:val="00EB1ACD"/>
    <w:rsid w:val="00F36812"/>
    <w:rsid w:val="00FA09D6"/>
    <w:rsid w:val="00FF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EDC1F"/>
  <w15:docId w15:val="{A73F6303-DE23-445B-9B8F-2E1E6BB5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D5FFA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D5FFA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7D5FF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D5FFA"/>
  </w:style>
  <w:style w:type="character" w:styleId="Rimandonotaapidipagina">
    <w:name w:val="footnote reference"/>
    <w:basedOn w:val="Carpredefinitoparagrafo"/>
    <w:rsid w:val="007D5F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tefano-triberti-eleonora-brivio/user-experience-psicologia-degli-oggetti-degli-utenti-e-dei-contesti-duso-9788891620439-25004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urizio.mauri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ergonomia-cognitiva-9788843051175-38946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E63B5-8977-441F-8BDD-6FB44E2F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625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Caputo Chiara</cp:lastModifiedBy>
  <cp:revision>5</cp:revision>
  <cp:lastPrinted>2003-03-27T10:42:00Z</cp:lastPrinted>
  <dcterms:created xsi:type="dcterms:W3CDTF">2023-07-12T09:34:00Z</dcterms:created>
  <dcterms:modified xsi:type="dcterms:W3CDTF">2023-07-14T06:40:00Z</dcterms:modified>
</cp:coreProperties>
</file>