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FEF5" w14:textId="09B7FC5F" w:rsidR="002D5E17" w:rsidRDefault="00163D84" w:rsidP="00163D84">
      <w:pPr>
        <w:pStyle w:val="Titolo1"/>
        <w:ind w:left="0" w:firstLine="0"/>
      </w:pPr>
      <w:r>
        <w:t xml:space="preserve">Modulo specialistico con laboratorio: </w:t>
      </w:r>
      <w:r w:rsidRPr="007717FB">
        <w:t>Prima il piacere, poi il dovere: riflessioni filosofiche sul benessere</w:t>
      </w:r>
    </w:p>
    <w:p w14:paraId="6BFC4E85" w14:textId="30D82CAE" w:rsidR="00163D84" w:rsidRDefault="00163D84" w:rsidP="00163D84">
      <w:pPr>
        <w:pStyle w:val="Titolo2"/>
      </w:pPr>
      <w:r>
        <w:t>Prof. Antonella Morandi Corradini</w:t>
      </w:r>
    </w:p>
    <w:p w14:paraId="7944524D" w14:textId="77777777" w:rsidR="00163D84" w:rsidRDefault="00163D84" w:rsidP="00163D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C3FED1" w14:textId="77777777" w:rsidR="00163D84" w:rsidRDefault="00163D84" w:rsidP="00163D84">
      <w:pPr>
        <w:rPr>
          <w:rStyle w:val="s19"/>
          <w:color w:val="000000"/>
        </w:rPr>
      </w:pPr>
      <w:r w:rsidRPr="00D70F68">
        <w:rPr>
          <w:rStyle w:val="s19"/>
          <w:i/>
          <w:iCs/>
          <w:color w:val="000000"/>
        </w:rPr>
        <w:t xml:space="preserve">Obiettivo del corso: </w:t>
      </w:r>
      <w:r w:rsidRPr="00D70F68">
        <w:rPr>
          <w:rStyle w:val="s19"/>
          <w:color w:val="000000"/>
        </w:rPr>
        <w:t>La finalità fondamentale del corso consiste nel chiarire il concetto di benessere, ricostruirne la molteplicità di significati, definirlo in modo contr</w:t>
      </w:r>
      <w:r>
        <w:rPr>
          <w:rStyle w:val="s19"/>
          <w:color w:val="000000"/>
        </w:rPr>
        <w:t>a</w:t>
      </w:r>
      <w:r w:rsidRPr="00D70F68">
        <w:rPr>
          <w:rStyle w:val="s19"/>
          <w:color w:val="000000"/>
        </w:rPr>
        <w:t>stivo rispetto ad altri concetti diversi ma a questo affini.</w:t>
      </w:r>
    </w:p>
    <w:p w14:paraId="19713262" w14:textId="77777777" w:rsidR="00163D84" w:rsidRDefault="00163D84" w:rsidP="00163D84">
      <w:pPr>
        <w:rPr>
          <w:rStyle w:val="s19"/>
          <w:color w:val="000000"/>
        </w:rPr>
      </w:pPr>
      <w:r w:rsidRPr="00D70F68">
        <w:rPr>
          <w:rStyle w:val="s19"/>
          <w:i/>
          <w:iCs/>
          <w:color w:val="000000"/>
        </w:rPr>
        <w:t>Conoscenza e comprensione</w:t>
      </w:r>
      <w:r>
        <w:rPr>
          <w:rStyle w:val="s19"/>
          <w:color w:val="000000"/>
        </w:rPr>
        <w:t>: al termine dell’insegnamento lo studente saprà esporre con proprietà le concezioni del benessere discusse, dimostrando di essere in grado di coglierne i tratti essenziali al fine di un loro confronto e valutazione.</w:t>
      </w:r>
    </w:p>
    <w:p w14:paraId="61F4621A" w14:textId="77777777" w:rsidR="00163D84" w:rsidRDefault="00163D84" w:rsidP="00163D84">
      <w:pPr>
        <w:rPr>
          <w:rStyle w:val="s19"/>
          <w:color w:val="000000"/>
        </w:rPr>
      </w:pPr>
      <w:r w:rsidRPr="00D70F68">
        <w:rPr>
          <w:rStyle w:val="s19"/>
          <w:i/>
          <w:iCs/>
          <w:color w:val="000000"/>
        </w:rPr>
        <w:t>Capacità di applicare conoscenza e comprensione:</w:t>
      </w:r>
      <w:r>
        <w:rPr>
          <w:rStyle w:val="s19"/>
          <w:color w:val="000000"/>
        </w:rPr>
        <w:t xml:space="preserve"> lo studente sarà in grado di comprendere i molti significati del concetto di benessere che stanno alla base degli studi dedicati dagli psicologi a questo costrutto.</w:t>
      </w:r>
    </w:p>
    <w:p w14:paraId="4D163DB2" w14:textId="77777777" w:rsidR="00163D84" w:rsidRDefault="00163D84" w:rsidP="00163D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B066F9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1: </w:t>
      </w:r>
      <w:r w:rsidRPr="00163D84">
        <w:rPr>
          <w:rStyle w:val="s19"/>
          <w:i/>
          <w:iCs/>
          <w:color w:val="000000"/>
          <w:sz w:val="20"/>
          <w:szCs w:val="20"/>
        </w:rPr>
        <w:t xml:space="preserve">Presentazione della docente di due temi fondamentali della nozione filosofica di benessere: </w:t>
      </w:r>
    </w:p>
    <w:p w14:paraId="776B4E19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1</w:t>
      </w:r>
      <w:r w:rsidRPr="00163D84">
        <w:rPr>
          <w:rStyle w:val="s19"/>
          <w:i/>
          <w:iCs/>
          <w:color w:val="000000"/>
          <w:sz w:val="20"/>
          <w:szCs w:val="20"/>
        </w:rPr>
        <w:t xml:space="preserve">. </w:t>
      </w:r>
      <w:r w:rsidRPr="00163D84">
        <w:rPr>
          <w:rStyle w:val="s19"/>
          <w:color w:val="000000"/>
          <w:sz w:val="20"/>
          <w:szCs w:val="20"/>
        </w:rPr>
        <w:t>Bene vs. benessere</w:t>
      </w:r>
    </w:p>
    <w:p w14:paraId="6AA007A5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</w:t>
      </w:r>
      <w:r w:rsidRPr="00163D84">
        <w:rPr>
          <w:rStyle w:val="s19"/>
          <w:i/>
          <w:iCs/>
          <w:color w:val="000000"/>
          <w:sz w:val="20"/>
          <w:szCs w:val="20"/>
        </w:rPr>
        <w:t xml:space="preserve">. </w:t>
      </w:r>
      <w:r w:rsidRPr="00163D84">
        <w:rPr>
          <w:rStyle w:val="s19"/>
          <w:color w:val="000000"/>
          <w:sz w:val="20"/>
          <w:szCs w:val="20"/>
        </w:rPr>
        <w:t>Benessere soggettivo vs. benessere oggettivo.</w:t>
      </w:r>
    </w:p>
    <w:p w14:paraId="25A6BFF6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2: </w:t>
      </w:r>
      <w:r w:rsidRPr="00163D84">
        <w:rPr>
          <w:rStyle w:val="s19"/>
          <w:i/>
          <w:iCs/>
          <w:color w:val="000000"/>
          <w:sz w:val="20"/>
          <w:szCs w:val="20"/>
        </w:rPr>
        <w:t>Edonismo</w:t>
      </w:r>
    </w:p>
    <w:p w14:paraId="091F1304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1: Esposizione dell’edonismo</w:t>
      </w:r>
    </w:p>
    <w:p w14:paraId="08294158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2: Argomenti a favore dell’edonismo</w:t>
      </w:r>
    </w:p>
    <w:p w14:paraId="31BC8BFC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3: Obiezioni all’edonismo</w:t>
      </w:r>
    </w:p>
    <w:p w14:paraId="7313438A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3: </w:t>
      </w:r>
      <w:r w:rsidRPr="00163D84">
        <w:rPr>
          <w:rStyle w:val="s19"/>
          <w:i/>
          <w:iCs/>
          <w:color w:val="000000"/>
          <w:sz w:val="20"/>
          <w:szCs w:val="20"/>
        </w:rPr>
        <w:t>Teoria dell’appagamento del desiderio</w:t>
      </w:r>
    </w:p>
    <w:p w14:paraId="45130D0E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1: Esposizione della teoria </w:t>
      </w:r>
    </w:p>
    <w:p w14:paraId="06E898BF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2: Argomenti a favore della teoria </w:t>
      </w:r>
    </w:p>
    <w:p w14:paraId="243895E1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3: Obiezioni alla teoria </w:t>
      </w:r>
    </w:p>
    <w:p w14:paraId="43108B52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4: </w:t>
      </w:r>
      <w:r w:rsidRPr="00163D84">
        <w:rPr>
          <w:rStyle w:val="s19"/>
          <w:i/>
          <w:iCs/>
          <w:color w:val="000000"/>
          <w:sz w:val="20"/>
          <w:szCs w:val="20"/>
        </w:rPr>
        <w:t>Teorie della lista oggettiva</w:t>
      </w:r>
    </w:p>
    <w:p w14:paraId="6CBDA7B9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1: Esposizione della teoria </w:t>
      </w:r>
    </w:p>
    <w:p w14:paraId="42D8435E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2: Argomenti a favore della teoria</w:t>
      </w:r>
    </w:p>
    <w:p w14:paraId="7D9D3AFF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3: Obiezioni alla teoria</w:t>
      </w:r>
    </w:p>
    <w:p w14:paraId="0F7AE42A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5: </w:t>
      </w:r>
      <w:r w:rsidRPr="00163D84">
        <w:rPr>
          <w:rStyle w:val="s19"/>
          <w:i/>
          <w:iCs/>
          <w:color w:val="000000"/>
          <w:sz w:val="20"/>
          <w:szCs w:val="20"/>
        </w:rPr>
        <w:t>Teorie perfezioniste del benessere</w:t>
      </w:r>
    </w:p>
    <w:p w14:paraId="788FE5D6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1: Esposizione della teoria</w:t>
      </w:r>
    </w:p>
    <w:p w14:paraId="437146FE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2: Argomenti a favore della teoria</w:t>
      </w:r>
    </w:p>
    <w:p w14:paraId="6BBD48AD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lastRenderedPageBreak/>
        <w:t>Unità 3: Obiezioni alla teoria</w:t>
      </w:r>
    </w:p>
    <w:p w14:paraId="4985EF2B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6: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Eudaimonismo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,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flourishing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>, felicità</w:t>
      </w:r>
    </w:p>
    <w:p w14:paraId="32351266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1: Esposizione delle teorie</w:t>
      </w:r>
    </w:p>
    <w:p w14:paraId="390F9B5C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2: Argomenti a favore delle teorie</w:t>
      </w:r>
    </w:p>
    <w:p w14:paraId="26C7FD21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i/>
          <w:iCs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3: Obiezioni alle teorie</w:t>
      </w:r>
    </w:p>
    <w:p w14:paraId="6B8C34A0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7: </w:t>
      </w:r>
      <w:r w:rsidRPr="00163D84">
        <w:rPr>
          <w:rStyle w:val="s19"/>
          <w:i/>
          <w:iCs/>
          <w:color w:val="000000"/>
          <w:sz w:val="20"/>
          <w:szCs w:val="20"/>
        </w:rPr>
        <w:t>Teorie psicologiche del benessere a confronto</w:t>
      </w:r>
    </w:p>
    <w:p w14:paraId="7CCBBC4E" w14:textId="77777777" w:rsidR="00163D84" w:rsidRPr="00163D84" w:rsidRDefault="00163D84" w:rsidP="00163D84">
      <w:pPr>
        <w:rPr>
          <w:szCs w:val="20"/>
          <w:lang w:val="en-US"/>
        </w:rPr>
      </w:pPr>
      <w:proofErr w:type="spellStart"/>
      <w:r w:rsidRPr="00163D84">
        <w:rPr>
          <w:rStyle w:val="s19"/>
          <w:color w:val="000000"/>
          <w:szCs w:val="20"/>
          <w:lang w:val="en-US"/>
        </w:rPr>
        <w:t>Unità</w:t>
      </w:r>
      <w:proofErr w:type="spellEnd"/>
      <w:r w:rsidRPr="00163D84">
        <w:rPr>
          <w:rStyle w:val="s19"/>
          <w:color w:val="000000"/>
          <w:szCs w:val="20"/>
          <w:lang w:val="en-US"/>
        </w:rPr>
        <w:t xml:space="preserve"> 1: </w:t>
      </w:r>
      <w:proofErr w:type="spellStart"/>
      <w:r w:rsidRPr="00163D84">
        <w:rPr>
          <w:szCs w:val="20"/>
          <w:lang w:val="en-US"/>
        </w:rPr>
        <w:t>Analogie</w:t>
      </w:r>
      <w:proofErr w:type="spellEnd"/>
      <w:r w:rsidRPr="00163D84">
        <w:rPr>
          <w:szCs w:val="20"/>
          <w:lang w:val="en-US"/>
        </w:rPr>
        <w:t xml:space="preserve"> e </w:t>
      </w:r>
      <w:proofErr w:type="spellStart"/>
      <w:r w:rsidRPr="00163D84">
        <w:rPr>
          <w:szCs w:val="20"/>
          <w:lang w:val="en-US"/>
        </w:rPr>
        <w:t>differenze</w:t>
      </w:r>
      <w:proofErr w:type="spellEnd"/>
      <w:r w:rsidRPr="00163D84">
        <w:rPr>
          <w:szCs w:val="20"/>
          <w:lang w:val="en-US"/>
        </w:rPr>
        <w:t xml:space="preserve"> </w:t>
      </w:r>
      <w:proofErr w:type="spellStart"/>
      <w:r w:rsidRPr="00163D84">
        <w:rPr>
          <w:szCs w:val="20"/>
          <w:lang w:val="en-US"/>
        </w:rPr>
        <w:t>tra</w:t>
      </w:r>
      <w:proofErr w:type="spellEnd"/>
      <w:r w:rsidRPr="00163D84">
        <w:rPr>
          <w:szCs w:val="20"/>
          <w:lang w:val="en-US"/>
        </w:rPr>
        <w:t xml:space="preserve"> Subjective Wellbeing (E. Diener) e Objective Happiness (D. Kahneman)</w:t>
      </w:r>
    </w:p>
    <w:p w14:paraId="2F0408FA" w14:textId="77777777" w:rsidR="00163D84" w:rsidRPr="00163D84" w:rsidRDefault="00163D84" w:rsidP="00163D84">
      <w:pPr>
        <w:rPr>
          <w:szCs w:val="20"/>
        </w:rPr>
      </w:pPr>
      <w:r w:rsidRPr="00163D84">
        <w:rPr>
          <w:szCs w:val="20"/>
        </w:rPr>
        <w:t>Unità</w:t>
      </w:r>
      <w:r w:rsidRPr="00163D84">
        <w:rPr>
          <w:i/>
          <w:iCs/>
          <w:szCs w:val="20"/>
        </w:rPr>
        <w:t xml:space="preserve"> </w:t>
      </w:r>
      <w:r w:rsidRPr="00163D84">
        <w:rPr>
          <w:szCs w:val="20"/>
        </w:rPr>
        <w:t>2</w:t>
      </w:r>
      <w:r w:rsidRPr="00163D84">
        <w:rPr>
          <w:i/>
          <w:iCs/>
          <w:szCs w:val="20"/>
        </w:rPr>
        <w:t>:</w:t>
      </w:r>
      <w:r w:rsidRPr="00163D84">
        <w:rPr>
          <w:szCs w:val="20"/>
        </w:rPr>
        <w:t xml:space="preserve"> Analogie e differenze tra </w:t>
      </w:r>
      <w:proofErr w:type="spellStart"/>
      <w:r w:rsidRPr="00163D84">
        <w:rPr>
          <w:szCs w:val="20"/>
        </w:rPr>
        <w:t>Psychological</w:t>
      </w:r>
      <w:proofErr w:type="spellEnd"/>
      <w:r w:rsidRPr="00163D84">
        <w:rPr>
          <w:szCs w:val="20"/>
        </w:rPr>
        <w:t xml:space="preserve"> </w:t>
      </w:r>
      <w:proofErr w:type="spellStart"/>
      <w:r w:rsidRPr="00163D84">
        <w:rPr>
          <w:szCs w:val="20"/>
        </w:rPr>
        <w:t>Wellbeing</w:t>
      </w:r>
      <w:proofErr w:type="spellEnd"/>
      <w:r w:rsidRPr="00163D84">
        <w:rPr>
          <w:szCs w:val="20"/>
        </w:rPr>
        <w:t xml:space="preserve"> (C. </w:t>
      </w:r>
      <w:proofErr w:type="spellStart"/>
      <w:r w:rsidRPr="00163D84">
        <w:rPr>
          <w:szCs w:val="20"/>
        </w:rPr>
        <w:t>Ryff</w:t>
      </w:r>
      <w:proofErr w:type="spellEnd"/>
      <w:r w:rsidRPr="00163D84">
        <w:rPr>
          <w:szCs w:val="20"/>
        </w:rPr>
        <w:t>) e il modello PERMA (M. Seligman)</w:t>
      </w:r>
    </w:p>
    <w:p w14:paraId="48D93669" w14:textId="77777777" w:rsidR="00163D84" w:rsidRPr="00163D84" w:rsidRDefault="00163D84" w:rsidP="00163D84">
      <w:pPr>
        <w:rPr>
          <w:szCs w:val="20"/>
        </w:rPr>
      </w:pPr>
      <w:r w:rsidRPr="00163D84">
        <w:rPr>
          <w:szCs w:val="20"/>
        </w:rPr>
        <w:t>Unità</w:t>
      </w:r>
      <w:r w:rsidRPr="00163D84">
        <w:rPr>
          <w:i/>
          <w:iCs/>
          <w:szCs w:val="20"/>
        </w:rPr>
        <w:t xml:space="preserve"> </w:t>
      </w:r>
      <w:r w:rsidRPr="00163D84">
        <w:rPr>
          <w:szCs w:val="20"/>
        </w:rPr>
        <w:t>3</w:t>
      </w:r>
      <w:r w:rsidRPr="00163D84">
        <w:rPr>
          <w:i/>
          <w:iCs/>
          <w:szCs w:val="20"/>
        </w:rPr>
        <w:t>:</w:t>
      </w:r>
      <w:r w:rsidRPr="00163D84">
        <w:rPr>
          <w:szCs w:val="20"/>
        </w:rPr>
        <w:t xml:space="preserve"> Analogie e differenze tra Self-</w:t>
      </w:r>
      <w:proofErr w:type="spellStart"/>
      <w:r w:rsidRPr="00163D84">
        <w:rPr>
          <w:szCs w:val="20"/>
        </w:rPr>
        <w:t>Determination</w:t>
      </w:r>
      <w:proofErr w:type="spellEnd"/>
      <w:r w:rsidRPr="00163D84">
        <w:rPr>
          <w:szCs w:val="20"/>
        </w:rPr>
        <w:t xml:space="preserve"> Theory (E. Ryan, R. </w:t>
      </w:r>
      <w:proofErr w:type="spellStart"/>
      <w:r w:rsidRPr="00163D84">
        <w:rPr>
          <w:szCs w:val="20"/>
        </w:rPr>
        <w:t>Deci</w:t>
      </w:r>
      <w:proofErr w:type="spellEnd"/>
      <w:r w:rsidRPr="00163D84">
        <w:rPr>
          <w:szCs w:val="20"/>
        </w:rPr>
        <w:t>) e Network Theory (M. Bishop)</w:t>
      </w:r>
    </w:p>
    <w:p w14:paraId="0E0D65D9" w14:textId="77777777" w:rsidR="00163D84" w:rsidRPr="00163D84" w:rsidRDefault="00163D84" w:rsidP="00163D84">
      <w:pPr>
        <w:spacing w:before="120"/>
        <w:rPr>
          <w:szCs w:val="20"/>
        </w:rPr>
      </w:pPr>
      <w:r w:rsidRPr="00163D84">
        <w:rPr>
          <w:szCs w:val="20"/>
        </w:rPr>
        <w:t xml:space="preserve">MODULO 8: </w:t>
      </w:r>
      <w:r w:rsidRPr="00163D84">
        <w:rPr>
          <w:i/>
          <w:iCs/>
          <w:szCs w:val="20"/>
        </w:rPr>
        <w:t>Principali critiche mosse alle teorie del benessere e alla psicologia positiva</w:t>
      </w:r>
    </w:p>
    <w:p w14:paraId="3308F8D2" w14:textId="77777777" w:rsidR="00163D84" w:rsidRPr="00163D84" w:rsidRDefault="00163D84" w:rsidP="00163D84">
      <w:pPr>
        <w:rPr>
          <w:szCs w:val="20"/>
        </w:rPr>
      </w:pPr>
      <w:r w:rsidRPr="00163D84">
        <w:rPr>
          <w:szCs w:val="20"/>
        </w:rPr>
        <w:t>Unità 1</w:t>
      </w:r>
      <w:r w:rsidRPr="00163D84">
        <w:rPr>
          <w:i/>
          <w:iCs/>
          <w:szCs w:val="20"/>
        </w:rPr>
        <w:t>:</w:t>
      </w:r>
      <w:r w:rsidRPr="00163D84">
        <w:rPr>
          <w:szCs w:val="20"/>
        </w:rPr>
        <w:t xml:space="preserve"> Cultura, neutralità valoriale e psicologia del benessere</w:t>
      </w:r>
    </w:p>
    <w:p w14:paraId="7A3E5299" w14:textId="77777777" w:rsidR="00163D84" w:rsidRPr="00163D84" w:rsidRDefault="00163D84" w:rsidP="00163D84">
      <w:pPr>
        <w:rPr>
          <w:szCs w:val="20"/>
        </w:rPr>
      </w:pPr>
      <w:r w:rsidRPr="00163D84">
        <w:rPr>
          <w:szCs w:val="20"/>
        </w:rPr>
        <w:t>Unità 2</w:t>
      </w:r>
      <w:r w:rsidRPr="00163D84">
        <w:rPr>
          <w:i/>
          <w:iCs/>
          <w:szCs w:val="20"/>
        </w:rPr>
        <w:t>:</w:t>
      </w:r>
      <w:r w:rsidRPr="00163D84">
        <w:rPr>
          <w:szCs w:val="20"/>
        </w:rPr>
        <w:t xml:space="preserve"> Universalità delle teorie e critiche di decontestualizzazione</w:t>
      </w:r>
    </w:p>
    <w:p w14:paraId="43F3AE45" w14:textId="77777777" w:rsidR="00163D84" w:rsidRPr="00163D84" w:rsidRDefault="00163D84" w:rsidP="00163D84">
      <w:pPr>
        <w:rPr>
          <w:szCs w:val="20"/>
        </w:rPr>
      </w:pPr>
      <w:r w:rsidRPr="00163D84">
        <w:rPr>
          <w:szCs w:val="20"/>
        </w:rPr>
        <w:t>Unità 3</w:t>
      </w:r>
      <w:r w:rsidRPr="00163D84">
        <w:rPr>
          <w:i/>
          <w:iCs/>
          <w:szCs w:val="20"/>
        </w:rPr>
        <w:t>:</w:t>
      </w:r>
      <w:r w:rsidRPr="00163D84">
        <w:rPr>
          <w:szCs w:val="20"/>
        </w:rPr>
        <w:t xml:space="preserve"> Quale itinerario dal piano descrittivo a quello prescrittivo?</w:t>
      </w:r>
    </w:p>
    <w:p w14:paraId="75E7B693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MODULO 9</w:t>
      </w:r>
      <w:r w:rsidRPr="00163D84">
        <w:rPr>
          <w:rStyle w:val="s19"/>
          <w:i/>
          <w:iCs/>
          <w:color w:val="000000"/>
          <w:sz w:val="20"/>
          <w:szCs w:val="20"/>
        </w:rPr>
        <w:t>:</w:t>
      </w:r>
      <w:r w:rsidRPr="00163D84">
        <w:rPr>
          <w:rStyle w:val="s19"/>
          <w:color w:val="000000"/>
          <w:sz w:val="20"/>
          <w:szCs w:val="20"/>
        </w:rPr>
        <w:t xml:space="preserve"> </w:t>
      </w:r>
      <w:r w:rsidRPr="00163D84">
        <w:rPr>
          <w:rStyle w:val="s19"/>
          <w:i/>
          <w:iCs/>
          <w:color w:val="000000"/>
          <w:sz w:val="20"/>
          <w:szCs w:val="20"/>
        </w:rPr>
        <w:t>Presentazione di alcune misure del benessere</w:t>
      </w:r>
    </w:p>
    <w:p w14:paraId="555410EC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1: Analogie e differenze tra le due misure edoniche del </w:t>
      </w:r>
      <w:proofErr w:type="gramStart"/>
      <w:r w:rsidRPr="00163D84">
        <w:rPr>
          <w:rStyle w:val="s19"/>
          <w:color w:val="000000"/>
          <w:sz w:val="20"/>
          <w:szCs w:val="20"/>
        </w:rPr>
        <w:t xml:space="preserve">benessere: 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Satisfaction</w:t>
      </w:r>
      <w:proofErr w:type="spellEnd"/>
      <w:proofErr w:type="gramEnd"/>
      <w:r w:rsidRPr="00163D84">
        <w:rPr>
          <w:rStyle w:val="s19"/>
          <w:i/>
          <w:iCs/>
          <w:color w:val="000000"/>
          <w:sz w:val="20"/>
          <w:szCs w:val="20"/>
        </w:rPr>
        <w:t xml:space="preserve"> with Life Scale </w:t>
      </w:r>
      <w:r w:rsidRPr="00163D84">
        <w:rPr>
          <w:rStyle w:val="s19"/>
          <w:color w:val="000000"/>
          <w:sz w:val="20"/>
          <w:szCs w:val="20"/>
        </w:rPr>
        <w:t xml:space="preserve">(E. Diener) e 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Objective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Happiness</w:t>
      </w:r>
      <w:proofErr w:type="spellEnd"/>
      <w:r w:rsidRPr="00163D84">
        <w:rPr>
          <w:rStyle w:val="s19"/>
          <w:color w:val="000000"/>
          <w:sz w:val="20"/>
          <w:szCs w:val="20"/>
        </w:rPr>
        <w:t xml:space="preserve"> (D. </w:t>
      </w:r>
      <w:proofErr w:type="spellStart"/>
      <w:r w:rsidRPr="00163D84">
        <w:rPr>
          <w:rStyle w:val="s19"/>
          <w:color w:val="000000"/>
          <w:sz w:val="20"/>
          <w:szCs w:val="20"/>
        </w:rPr>
        <w:t>Kahneman</w:t>
      </w:r>
      <w:proofErr w:type="spellEnd"/>
      <w:r w:rsidRPr="00163D84">
        <w:rPr>
          <w:rStyle w:val="s19"/>
          <w:color w:val="000000"/>
          <w:sz w:val="20"/>
          <w:szCs w:val="20"/>
        </w:rPr>
        <w:t>).</w:t>
      </w:r>
    </w:p>
    <w:p w14:paraId="151A20C1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Unità 2: Analogie e differenze tra due misure </w:t>
      </w:r>
      <w:proofErr w:type="spellStart"/>
      <w:r w:rsidRPr="00163D84">
        <w:rPr>
          <w:rStyle w:val="s19"/>
          <w:color w:val="000000"/>
          <w:sz w:val="20"/>
          <w:szCs w:val="20"/>
        </w:rPr>
        <w:t>eudaimoniche</w:t>
      </w:r>
      <w:proofErr w:type="spellEnd"/>
      <w:r w:rsidRPr="00163D84">
        <w:rPr>
          <w:rStyle w:val="s19"/>
          <w:color w:val="000000"/>
          <w:sz w:val="20"/>
          <w:szCs w:val="20"/>
        </w:rPr>
        <w:t xml:space="preserve">: la </w:t>
      </w:r>
      <w:r w:rsidRPr="00163D84">
        <w:rPr>
          <w:rStyle w:val="s19"/>
          <w:i/>
          <w:iCs/>
          <w:color w:val="000000"/>
          <w:sz w:val="20"/>
          <w:szCs w:val="20"/>
        </w:rPr>
        <w:t xml:space="preserve">Scale of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Psychological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Well-Being</w:t>
      </w:r>
      <w:proofErr w:type="spellEnd"/>
      <w:r w:rsidRPr="00163D84">
        <w:rPr>
          <w:rStyle w:val="s19"/>
          <w:color w:val="000000"/>
          <w:sz w:val="20"/>
          <w:szCs w:val="20"/>
        </w:rPr>
        <w:t xml:space="preserve"> (C. </w:t>
      </w:r>
      <w:proofErr w:type="spellStart"/>
      <w:proofErr w:type="gramStart"/>
      <w:r w:rsidRPr="00163D84">
        <w:rPr>
          <w:rStyle w:val="s19"/>
          <w:color w:val="000000"/>
          <w:sz w:val="20"/>
          <w:szCs w:val="20"/>
        </w:rPr>
        <w:t>Ryff</w:t>
      </w:r>
      <w:proofErr w:type="spellEnd"/>
      <w:r w:rsidRPr="00163D84">
        <w:rPr>
          <w:rStyle w:val="s19"/>
          <w:color w:val="000000"/>
          <w:sz w:val="20"/>
          <w:szCs w:val="20"/>
        </w:rPr>
        <w:t xml:space="preserve"> )</w:t>
      </w:r>
      <w:proofErr w:type="gramEnd"/>
      <w:r w:rsidRPr="00163D84">
        <w:rPr>
          <w:rStyle w:val="s19"/>
          <w:color w:val="000000"/>
          <w:sz w:val="20"/>
          <w:szCs w:val="20"/>
        </w:rPr>
        <w:t xml:space="preserve"> e il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Questionnaire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 for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Eudaimonic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 </w:t>
      </w:r>
      <w:proofErr w:type="spellStart"/>
      <w:r w:rsidRPr="00163D84">
        <w:rPr>
          <w:rStyle w:val="s19"/>
          <w:i/>
          <w:iCs/>
          <w:color w:val="000000"/>
          <w:sz w:val="20"/>
          <w:szCs w:val="20"/>
        </w:rPr>
        <w:t>Well-Being</w:t>
      </w:r>
      <w:proofErr w:type="spellEnd"/>
      <w:r w:rsidRPr="00163D84">
        <w:rPr>
          <w:rStyle w:val="s19"/>
          <w:i/>
          <w:iCs/>
          <w:color w:val="000000"/>
          <w:sz w:val="20"/>
          <w:szCs w:val="20"/>
        </w:rPr>
        <w:t xml:space="preserve"> </w:t>
      </w:r>
      <w:r w:rsidRPr="00163D84">
        <w:rPr>
          <w:rStyle w:val="s19"/>
          <w:color w:val="000000"/>
          <w:sz w:val="20"/>
          <w:szCs w:val="20"/>
        </w:rPr>
        <w:t xml:space="preserve"> (A. </w:t>
      </w:r>
      <w:proofErr w:type="spellStart"/>
      <w:r w:rsidRPr="00163D84">
        <w:rPr>
          <w:rStyle w:val="s19"/>
          <w:color w:val="000000"/>
          <w:sz w:val="20"/>
          <w:szCs w:val="20"/>
        </w:rPr>
        <w:t>Waterman</w:t>
      </w:r>
      <w:proofErr w:type="spellEnd"/>
      <w:r w:rsidRPr="00163D84">
        <w:rPr>
          <w:rStyle w:val="s19"/>
          <w:color w:val="000000"/>
          <w:sz w:val="20"/>
          <w:szCs w:val="20"/>
        </w:rPr>
        <w:t>).</w:t>
      </w:r>
    </w:p>
    <w:p w14:paraId="2667389F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3: La carenza di teoria nella costruzione delle scale di valutazione del benessere.</w:t>
      </w:r>
    </w:p>
    <w:p w14:paraId="0BEC7D9B" w14:textId="77777777" w:rsidR="00163D84" w:rsidRPr="00163D84" w:rsidRDefault="00163D84" w:rsidP="00163D84">
      <w:pPr>
        <w:pStyle w:val="s17"/>
        <w:spacing w:before="12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 xml:space="preserve">MODULO 10: </w:t>
      </w:r>
      <w:r w:rsidRPr="00163D84">
        <w:rPr>
          <w:rStyle w:val="s19"/>
          <w:i/>
          <w:iCs/>
          <w:color w:val="000000"/>
          <w:sz w:val="20"/>
          <w:szCs w:val="20"/>
        </w:rPr>
        <w:t>La valutazione della misurazione del benessere</w:t>
      </w:r>
    </w:p>
    <w:p w14:paraId="0A9B4EB2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1: Benessere come media di dati aggregati vs. benessere individuale</w:t>
      </w:r>
    </w:p>
    <w:p w14:paraId="0326BCAA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2: La validità di costrutto e l’uso dell’analisi fattoriale</w:t>
      </w:r>
    </w:p>
    <w:p w14:paraId="00206981" w14:textId="77777777" w:rsidR="00163D84" w:rsidRPr="00163D84" w:rsidRDefault="00163D84" w:rsidP="00163D84">
      <w:pPr>
        <w:pStyle w:val="s17"/>
        <w:spacing w:before="0" w:beforeAutospacing="0" w:after="0" w:afterAutospacing="0" w:line="240" w:lineRule="exact"/>
        <w:jc w:val="both"/>
        <w:rPr>
          <w:rStyle w:val="s19"/>
          <w:color w:val="000000"/>
          <w:sz w:val="20"/>
          <w:szCs w:val="20"/>
        </w:rPr>
      </w:pPr>
      <w:r w:rsidRPr="00163D84">
        <w:rPr>
          <w:rStyle w:val="s19"/>
          <w:color w:val="000000"/>
          <w:sz w:val="20"/>
          <w:szCs w:val="20"/>
        </w:rPr>
        <w:t>Unità 3: Si può davvero misurare il benessere?</w:t>
      </w:r>
    </w:p>
    <w:p w14:paraId="6949BAE4" w14:textId="6AD5C656" w:rsidR="00163D84" w:rsidRDefault="00163D84" w:rsidP="00163D8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2620D">
        <w:rPr>
          <w:rStyle w:val="Rimandonotaapidipagina"/>
          <w:b/>
          <w:i/>
          <w:sz w:val="18"/>
        </w:rPr>
        <w:footnoteReference w:id="1"/>
      </w:r>
    </w:p>
    <w:p w14:paraId="45F16412" w14:textId="46CB0F1B" w:rsidR="00163D84" w:rsidRDefault="00163D84" w:rsidP="00163D84">
      <w:pPr>
        <w:pStyle w:val="Testo1"/>
        <w:rPr>
          <w:rStyle w:val="s19"/>
          <w:color w:val="000000"/>
        </w:rPr>
      </w:pPr>
      <w:r>
        <w:rPr>
          <w:rStyle w:val="s19"/>
          <w:color w:val="000000"/>
        </w:rPr>
        <w:t>A.</w:t>
      </w:r>
      <w:r w:rsidRPr="002136F1">
        <w:rPr>
          <w:rStyle w:val="s19"/>
          <w:color w:val="000000"/>
        </w:rPr>
        <w:t>Corradini</w:t>
      </w:r>
      <w:r>
        <w:rPr>
          <w:rStyle w:val="s19"/>
          <w:i/>
          <w:iCs/>
          <w:color w:val="000000"/>
        </w:rPr>
        <w:t>,</w:t>
      </w:r>
      <w:r>
        <w:rPr>
          <w:rStyle w:val="s19"/>
          <w:color w:val="000000"/>
        </w:rPr>
        <w:t xml:space="preserve"> N. Gaj, G. Lo Dico (2023) </w:t>
      </w:r>
      <w:r>
        <w:rPr>
          <w:rStyle w:val="s19"/>
          <w:i/>
          <w:iCs/>
          <w:color w:val="000000"/>
        </w:rPr>
        <w:t>F</w:t>
      </w:r>
      <w:r w:rsidRPr="005A260D">
        <w:rPr>
          <w:rStyle w:val="s19"/>
          <w:i/>
          <w:iCs/>
          <w:color w:val="000000"/>
        </w:rPr>
        <w:t>ilosofia e psicologia del benessere: un approccio integrato</w:t>
      </w:r>
      <w:r>
        <w:rPr>
          <w:rStyle w:val="s19"/>
          <w:color w:val="000000"/>
        </w:rPr>
        <w:t>, Roma: Carocci.</w:t>
      </w:r>
    </w:p>
    <w:p w14:paraId="4C93A5E1" w14:textId="77777777" w:rsidR="00163D84" w:rsidRDefault="00163D84" w:rsidP="00163D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10F3D7A" w14:textId="10B50DC0" w:rsidR="00163D84" w:rsidRDefault="00163D84" w:rsidP="00163D84">
      <w:pPr>
        <w:pStyle w:val="Testo2"/>
      </w:pPr>
      <w:r>
        <w:t>Seminari di gruppo.</w:t>
      </w:r>
    </w:p>
    <w:p w14:paraId="574F758A" w14:textId="77777777" w:rsidR="00163D84" w:rsidRDefault="00163D84" w:rsidP="00163D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966720" w14:textId="77777777" w:rsidR="00163D84" w:rsidRDefault="00163D84" w:rsidP="00163D84">
      <w:pPr>
        <w:pStyle w:val="Testo2"/>
        <w:rPr>
          <w:rStyle w:val="s19"/>
          <w:color w:val="000000"/>
        </w:rPr>
      </w:pPr>
      <w:r>
        <w:rPr>
          <w:rStyle w:val="s19"/>
          <w:color w:val="000000"/>
        </w:rPr>
        <w:t>Durante il corso lo studente presenterà – singolarmente o a gruppi – uno degli argomenti compresi nel programma e lo discuterà insieme agli altri studenti e alla docente. Il giudizio sul candidato sarà basato sulla sua capacità di esporre criticamente l’argomento scelto, di interagire con i colleghi e la docente nella discussione. A coloro che seguiranno il percorso basato sullo studio dei testi presenti nella bibliografia sarà richiesto un breve report di discussione (circa 1200 parole) su uno degli argomenti menzionati.</w:t>
      </w:r>
    </w:p>
    <w:p w14:paraId="1E5D0FF1" w14:textId="77777777" w:rsidR="00163D84" w:rsidRDefault="00163D84" w:rsidP="00163D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6EDBD3" w14:textId="77777777" w:rsidR="00163D84" w:rsidRDefault="00163D84" w:rsidP="00163D84">
      <w:pPr>
        <w:pStyle w:val="Testo2"/>
        <w:rPr>
          <w:rStyle w:val="s19"/>
          <w:color w:val="000000"/>
        </w:rPr>
      </w:pPr>
      <w:r>
        <w:rPr>
          <w:rStyle w:val="s19"/>
          <w:color w:val="000000"/>
        </w:rPr>
        <w:t>Non è richiesto nessun prerequisito.</w:t>
      </w:r>
    </w:p>
    <w:p w14:paraId="57948F33" w14:textId="77777777" w:rsidR="00163D84" w:rsidRDefault="00163D84" w:rsidP="00163D84">
      <w:pPr>
        <w:pStyle w:val="Testo2"/>
        <w:spacing w:before="120"/>
        <w:rPr>
          <w:rStyle w:val="s19"/>
          <w:i/>
          <w:iCs/>
          <w:color w:val="000000"/>
        </w:rPr>
      </w:pPr>
      <w:r w:rsidRPr="005A260D">
        <w:rPr>
          <w:rStyle w:val="s19"/>
          <w:i/>
          <w:iCs/>
          <w:color w:val="000000"/>
        </w:rPr>
        <w:t>Orario e luogo di ricevimento</w:t>
      </w:r>
    </w:p>
    <w:p w14:paraId="79468418" w14:textId="77777777" w:rsidR="00163D84" w:rsidRPr="005A260D" w:rsidRDefault="00163D84" w:rsidP="00163D84">
      <w:pPr>
        <w:pStyle w:val="Testo2"/>
        <w:rPr>
          <w:rStyle w:val="s19"/>
          <w:color w:val="000000"/>
        </w:rPr>
      </w:pPr>
      <w:r>
        <w:rPr>
          <w:rStyle w:val="s19"/>
          <w:color w:val="000000"/>
        </w:rPr>
        <w:t>Il Prof. Antonella Morandi Corradini riceve gli studenti il martedì dalle ore 16.00 alle 18.00 nel suo studio presso il dipartimento di Psicologia.</w:t>
      </w:r>
    </w:p>
    <w:sectPr w:rsidR="00163D84" w:rsidRPr="005A26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603C" w14:textId="77777777" w:rsidR="0072620D" w:rsidRDefault="0072620D" w:rsidP="0072620D">
      <w:pPr>
        <w:spacing w:line="240" w:lineRule="auto"/>
      </w:pPr>
      <w:r>
        <w:separator/>
      </w:r>
    </w:p>
  </w:endnote>
  <w:endnote w:type="continuationSeparator" w:id="0">
    <w:p w14:paraId="43CF32B0" w14:textId="77777777" w:rsidR="0072620D" w:rsidRDefault="0072620D" w:rsidP="0072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6C56" w14:textId="77777777" w:rsidR="0072620D" w:rsidRDefault="0072620D" w:rsidP="0072620D">
      <w:pPr>
        <w:spacing w:line="240" w:lineRule="auto"/>
      </w:pPr>
      <w:r>
        <w:separator/>
      </w:r>
    </w:p>
  </w:footnote>
  <w:footnote w:type="continuationSeparator" w:id="0">
    <w:p w14:paraId="02C50839" w14:textId="77777777" w:rsidR="0072620D" w:rsidRDefault="0072620D" w:rsidP="0072620D">
      <w:pPr>
        <w:spacing w:line="240" w:lineRule="auto"/>
      </w:pPr>
      <w:r>
        <w:continuationSeparator/>
      </w:r>
    </w:p>
  </w:footnote>
  <w:footnote w:id="1">
    <w:p w14:paraId="187841A5" w14:textId="77777777" w:rsidR="0072620D" w:rsidRDefault="0072620D" w:rsidP="0072620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2626C90E" w14:textId="587B2564" w:rsidR="0072620D" w:rsidRDefault="0072620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DFF"/>
    <w:multiLevelType w:val="hybridMultilevel"/>
    <w:tmpl w:val="B69061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0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CA"/>
    <w:rsid w:val="00163D84"/>
    <w:rsid w:val="00187B99"/>
    <w:rsid w:val="002014DD"/>
    <w:rsid w:val="002D5E17"/>
    <w:rsid w:val="004D1217"/>
    <w:rsid w:val="004D6008"/>
    <w:rsid w:val="00640794"/>
    <w:rsid w:val="006F1772"/>
    <w:rsid w:val="0072620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82AC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476E2"/>
  <w15:chartTrackingRefBased/>
  <w15:docId w15:val="{0B05C2A7-DE38-401C-84BA-6C67DF7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3D8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17">
    <w:name w:val="s17"/>
    <w:basedOn w:val="Normale"/>
    <w:rsid w:val="00163D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s19">
    <w:name w:val="s19"/>
    <w:basedOn w:val="Carpredefinitoparagrafo"/>
    <w:rsid w:val="00163D84"/>
  </w:style>
  <w:style w:type="paragraph" w:styleId="Testonotaapidipagina">
    <w:name w:val="footnote text"/>
    <w:basedOn w:val="Normale"/>
    <w:link w:val="TestonotaapidipaginaCarattere"/>
    <w:rsid w:val="007262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620D"/>
  </w:style>
  <w:style w:type="character" w:styleId="Rimandonotaapidipagina">
    <w:name w:val="footnote reference"/>
    <w:basedOn w:val="Carpredefinitoparagrafo"/>
    <w:rsid w:val="0072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611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2003-03-27T10:42:00Z</cp:lastPrinted>
  <dcterms:created xsi:type="dcterms:W3CDTF">2023-05-11T07:16:00Z</dcterms:created>
  <dcterms:modified xsi:type="dcterms:W3CDTF">2023-07-20T08:09:00Z</dcterms:modified>
</cp:coreProperties>
</file>