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925F" w14:textId="16891257" w:rsidR="00B70C15" w:rsidRDefault="00B70C15">
      <w:pPr>
        <w:pStyle w:val="Titolo11"/>
      </w:pPr>
      <w:r>
        <w:t xml:space="preserve">Laboratorio </w:t>
      </w:r>
      <w:r w:rsidRPr="008D4968">
        <w:t xml:space="preserve">di Letteratura, Cinema e TV per ragazzi </w:t>
      </w:r>
    </w:p>
    <w:p w14:paraId="47263B2D" w14:textId="77777777" w:rsidR="00B70C15" w:rsidRDefault="00B70C15">
      <w:pPr>
        <w:pStyle w:val="Titolo21"/>
      </w:pPr>
      <w:r>
        <w:rPr>
          <w:lang w:val="en-US"/>
        </w:rPr>
        <w:t xml:space="preserve">Prof. Maria Chiara </w:t>
      </w:r>
      <w:proofErr w:type="spellStart"/>
      <w:r>
        <w:rPr>
          <w:lang w:val="en-US"/>
        </w:rPr>
        <w:t>Oltolini</w:t>
      </w:r>
      <w:proofErr w:type="spellEnd"/>
    </w:p>
    <w:p w14:paraId="20B90025" w14:textId="77777777" w:rsidR="00B70C15" w:rsidRDefault="00B70C1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4475A43" w14:textId="77777777" w:rsidR="00B70C15" w:rsidRPr="002B1D3A" w:rsidRDefault="00B70C15">
      <w:pPr>
        <w:spacing w:before="120" w:line="240" w:lineRule="exact"/>
      </w:pPr>
      <w:r w:rsidRPr="002B1D3A">
        <w:t xml:space="preserve">Offrire agli studenti una panoramica sulla </w:t>
      </w:r>
      <w:r w:rsidRPr="002B1D3A">
        <w:rPr>
          <w:i/>
          <w:iCs/>
        </w:rPr>
        <w:t>fiction</w:t>
      </w:r>
      <w:r w:rsidRPr="002B1D3A">
        <w:t xml:space="preserve"> per bambini e ragazzi italiana e internazionale, ripercorrendone l’evoluzione nel corso del tempo attraverso </w:t>
      </w:r>
      <w:r w:rsidRPr="002B1D3A">
        <w:rPr>
          <w:i/>
          <w:iCs/>
        </w:rPr>
        <w:t>case histories</w:t>
      </w:r>
      <w:r w:rsidRPr="002B1D3A">
        <w:t xml:space="preserve"> che illustrino le trasformazioni occorse nel sistema dalle origini a oggi; sottolineare l’importanza della proprietà intellettuale, mettendo in luce i legami tra industria editoriale, audiovisivo e </w:t>
      </w:r>
      <w:proofErr w:type="spellStart"/>
      <w:r w:rsidRPr="002B1D3A">
        <w:rPr>
          <w:i/>
          <w:iCs/>
        </w:rPr>
        <w:t>creators</w:t>
      </w:r>
      <w:proofErr w:type="spellEnd"/>
      <w:r w:rsidRPr="002B1D3A">
        <w:t xml:space="preserve"> nell’epoca multipiattaforma; fornire rudimenti di drammaturgia della narrazione adatta al pubblico di riferimento. </w:t>
      </w:r>
    </w:p>
    <w:p w14:paraId="705EBFD6" w14:textId="2CCD64EE" w:rsidR="00B70C15" w:rsidRPr="002B1D3A" w:rsidRDefault="00B70C15">
      <w:pPr>
        <w:spacing w:before="120" w:line="240" w:lineRule="exact"/>
        <w:rPr>
          <w:sz w:val="22"/>
          <w:szCs w:val="22"/>
        </w:rPr>
      </w:pPr>
      <w:r w:rsidRPr="002B1D3A">
        <w:t>Al termine del corso, lo studente sarà in grado di orientarsi diacronicamente nella galassia delle produzioni destinate all’intrattenimento infantile e giovanile; orientarsi tra i diversi media che costellano l’orizzonte narrativo scolare e prescolare, identificandone linguaggi e format specifici, con uno sguardo agli ambiti dell’animazione e del fumetto (occidentale e orientale); conoscere i target principali e le implicazioni che essi comportano in termini di abitudini di consumo, scelte narrative e di marketing; ragionare su storie e contenuti che hanno lasciato una traccia nella cultura globale per bambini e ragazzi, analizzandone temi, idee e personaggi archetipici con lucidità, e collocandoli nel proprio divenire storico; comprendere le caratteristiche del contesto italiano, e immaginare proposte di lavoro in equilibrio tra originalità personale ed esigenze del mercato attuale.</w:t>
      </w:r>
    </w:p>
    <w:p w14:paraId="7DF26C8D" w14:textId="77777777" w:rsidR="00B70C15" w:rsidRDefault="00B70C1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83B4825" w14:textId="23738FDF" w:rsidR="00B70C15" w:rsidRPr="008D4968" w:rsidRDefault="00B70C15">
      <w:pPr>
        <w:spacing w:before="120" w:line="240" w:lineRule="exact"/>
      </w:pPr>
      <w:r w:rsidRPr="008D4968">
        <w:t>Il corso prevede alcune lezion</w:t>
      </w:r>
      <w:r w:rsidR="00043E8F">
        <w:t>i</w:t>
      </w:r>
      <w:r w:rsidRPr="008D4968">
        <w:t xml:space="preserve"> frontali (supportate dalla proiezione di filmati e presentazioni PowerPoint), a cui seguirà un’esercitazione pratica. </w:t>
      </w:r>
    </w:p>
    <w:p w14:paraId="754B9512" w14:textId="6BE2FE85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>Il pubblico giovane tra media e cultura popolare. Teorie, valori, target.</w:t>
      </w:r>
    </w:p>
    <w:p w14:paraId="6FA2C760" w14:textId="7E4B30FE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Vecchi e nuovi classici della letteratura per ragazzi. Generi, personaggi, temi. </w:t>
      </w:r>
    </w:p>
    <w:p w14:paraId="52C7A72F" w14:textId="0DF48984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La “corsa al franchise” dell’audiovisivo. Serialità, brand, adattamento, </w:t>
      </w:r>
      <w:proofErr w:type="spellStart"/>
      <w:r w:rsidRPr="008D4968">
        <w:t>transmedia</w:t>
      </w:r>
      <w:proofErr w:type="spellEnd"/>
      <w:r w:rsidRPr="008D4968">
        <w:t>.</w:t>
      </w:r>
    </w:p>
    <w:p w14:paraId="506592E9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La fucina del racconto. Ingredienti e tecniche per scrivere per bambini e ragazzi. </w:t>
      </w:r>
    </w:p>
    <w:p w14:paraId="63C1D081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Esercitazione: creare un concept o analizzare un’opera a scelta. </w:t>
      </w:r>
    </w:p>
    <w:p w14:paraId="1D68D93B" w14:textId="49A65F28" w:rsidR="00B70C15" w:rsidRDefault="00B70C15">
      <w:pPr>
        <w:spacing w:before="240" w:after="120" w:line="240" w:lineRule="exact"/>
      </w:pPr>
      <w:r>
        <w:rPr>
          <w:b/>
          <w:bCs/>
          <w:i/>
          <w:iCs/>
          <w:sz w:val="18"/>
          <w:szCs w:val="18"/>
        </w:rPr>
        <w:t>BIBLIOGRAFIA</w:t>
      </w:r>
      <w:r w:rsidR="00AE7C8C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5A626348" w14:textId="74016AE2" w:rsidR="00B70C15" w:rsidRDefault="00B70C15">
      <w:pPr>
        <w:pStyle w:val="Normale1"/>
        <w:spacing w:line="240" w:lineRule="exact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smallCaps/>
          <w:spacing w:val="-5"/>
          <w:sz w:val="16"/>
          <w:szCs w:val="16"/>
        </w:rPr>
        <w:lastRenderedPageBreak/>
        <w:t>M</w:t>
      </w:r>
      <w:r w:rsidR="002B1D3A">
        <w:rPr>
          <w:smallCaps/>
          <w:spacing w:val="-5"/>
          <w:sz w:val="16"/>
          <w:szCs w:val="16"/>
        </w:rPr>
        <w:t>.</w:t>
      </w:r>
      <w:r>
        <w:rPr>
          <w:smallCaps/>
          <w:spacing w:val="-5"/>
          <w:sz w:val="16"/>
          <w:szCs w:val="16"/>
        </w:rPr>
        <w:t>C</w:t>
      </w:r>
      <w:r w:rsidR="002B1D3A">
        <w:rPr>
          <w:smallCaps/>
          <w:spacing w:val="-5"/>
          <w:sz w:val="16"/>
          <w:szCs w:val="16"/>
        </w:rPr>
        <w:t>.</w:t>
      </w:r>
      <w:r>
        <w:rPr>
          <w:smallCaps/>
          <w:spacing w:val="-5"/>
          <w:sz w:val="16"/>
          <w:szCs w:val="16"/>
        </w:rPr>
        <w:t xml:space="preserve"> Oltolini,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  <w:spacing w:val="-5"/>
          <w:sz w:val="18"/>
          <w:szCs w:val="18"/>
        </w:rPr>
        <w:t>Scrivere bambini, scrivere per bambini</w:t>
      </w:r>
      <w:r>
        <w:rPr>
          <w:rFonts w:ascii="Times" w:hAnsi="Times"/>
          <w:spacing w:val="-5"/>
          <w:sz w:val="18"/>
          <w:szCs w:val="18"/>
        </w:rPr>
        <w:t xml:space="preserve">, in </w:t>
      </w:r>
      <w:r>
        <w:rPr>
          <w:smallCaps/>
          <w:spacing w:val="-5"/>
          <w:sz w:val="16"/>
          <w:szCs w:val="16"/>
        </w:rPr>
        <w:t>A. Fumagalli</w:t>
      </w:r>
      <w:r w:rsidR="002B1D3A">
        <w:rPr>
          <w:smallCaps/>
          <w:spacing w:val="-5"/>
          <w:sz w:val="16"/>
          <w:szCs w:val="16"/>
        </w:rPr>
        <w:t>-</w:t>
      </w:r>
      <w:r>
        <w:rPr>
          <w:smallCaps/>
          <w:spacing w:val="-5"/>
          <w:sz w:val="16"/>
          <w:szCs w:val="16"/>
        </w:rPr>
        <w:t>C. Albani</w:t>
      </w:r>
      <w:r w:rsidR="002B1D3A">
        <w:rPr>
          <w:smallCaps/>
          <w:spacing w:val="-5"/>
          <w:sz w:val="16"/>
          <w:szCs w:val="16"/>
        </w:rPr>
        <w:t>-</w:t>
      </w:r>
      <w:r>
        <w:rPr>
          <w:smallCaps/>
          <w:spacing w:val="-5"/>
          <w:sz w:val="16"/>
          <w:szCs w:val="16"/>
        </w:rPr>
        <w:t>P. Braga</w:t>
      </w:r>
      <w:r>
        <w:rPr>
          <w:rFonts w:ascii="Times" w:hAnsi="Times"/>
          <w:smallCaps/>
          <w:spacing w:val="-5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 xml:space="preserve">(ed.), </w:t>
      </w:r>
      <w:r>
        <w:rPr>
          <w:rFonts w:ascii="Times" w:hAnsi="Times"/>
          <w:i/>
          <w:iCs/>
          <w:sz w:val="18"/>
          <w:szCs w:val="18"/>
        </w:rPr>
        <w:t>Storia delle serie tv</w:t>
      </w:r>
      <w:r>
        <w:rPr>
          <w:rFonts w:ascii="Times" w:hAnsi="Times"/>
          <w:sz w:val="18"/>
          <w:szCs w:val="18"/>
        </w:rPr>
        <w:t>, Vol. 1, Dino Audino, Roma 2021: 195-229.</w:t>
      </w:r>
      <w:r w:rsidR="00AE7C8C">
        <w:rPr>
          <w:rFonts w:ascii="Times" w:hAnsi="Times"/>
          <w:sz w:val="18"/>
          <w:szCs w:val="18"/>
        </w:rPr>
        <w:t xml:space="preserve"> </w:t>
      </w:r>
      <w:hyperlink r:id="rId7" w:history="1">
        <w:r w:rsidR="00AE7C8C" w:rsidRPr="00AE7C8C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6C187CE5" w14:textId="77777777" w:rsidR="00B70C15" w:rsidRDefault="00B70C15">
      <w:pPr>
        <w:spacing w:line="240" w:lineRule="exact"/>
        <w:ind w:left="284" w:hanging="284"/>
      </w:pPr>
      <w:r w:rsidRPr="008D4968">
        <w:rPr>
          <w:rFonts w:ascii="Times" w:hAnsi="Times"/>
          <w:sz w:val="18"/>
          <w:szCs w:val="18"/>
        </w:rPr>
        <w:t xml:space="preserve">Altri libri saranno eventualmente indicati durante il corso a seconda delle necessità. </w:t>
      </w:r>
    </w:p>
    <w:p w14:paraId="027C3C48" w14:textId="77777777" w:rsidR="00B70C15" w:rsidRDefault="00B70C1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2BF8D821" w14:textId="77777777" w:rsidR="008D4968" w:rsidRPr="000A6B73" w:rsidRDefault="00B70C15" w:rsidP="008D4968">
      <w:pPr>
        <w:pStyle w:val="Testo2"/>
      </w:pPr>
      <w:r w:rsidRPr="008D4968">
        <w:rPr>
          <w:lang w:val="it-IT"/>
        </w:rPr>
        <w:t>Lezioni in aula (con proiezioni di filmati e slide),</w:t>
      </w:r>
      <w:r>
        <w:rPr>
          <w:lang w:val="it-IT"/>
        </w:rPr>
        <w:t xml:space="preserve"> esercitazioni guidate, lavoro in gruppo</w:t>
      </w:r>
      <w:r w:rsidRPr="008D4968">
        <w:rPr>
          <w:lang w:val="it-IT"/>
        </w:rPr>
        <w:t xml:space="preserve">. </w:t>
      </w:r>
      <w:r w:rsidR="008D4968" w:rsidRPr="000A6B73">
        <w:t xml:space="preserve">Nel </w:t>
      </w:r>
      <w:proofErr w:type="spellStart"/>
      <w:r w:rsidR="008D4968" w:rsidRPr="000A6B73">
        <w:t>caso</w:t>
      </w:r>
      <w:proofErr w:type="spellEnd"/>
      <w:r w:rsidR="008D4968" w:rsidRPr="000A6B73">
        <w:t xml:space="preserve"> in cui la </w:t>
      </w:r>
      <w:proofErr w:type="spellStart"/>
      <w:r w:rsidR="008D4968" w:rsidRPr="000A6B73">
        <w:t>situazione</w:t>
      </w:r>
      <w:proofErr w:type="spellEnd"/>
      <w:r w:rsidR="008D4968" w:rsidRPr="000A6B73">
        <w:t xml:space="preserve"> sanitaria </w:t>
      </w:r>
      <w:proofErr w:type="spellStart"/>
      <w:r w:rsidR="008D4968" w:rsidRPr="000A6B73">
        <w:t>relativa</w:t>
      </w:r>
      <w:proofErr w:type="spellEnd"/>
      <w:r w:rsidR="008D4968" w:rsidRPr="000A6B73">
        <w:t xml:space="preserve"> </w:t>
      </w:r>
      <w:proofErr w:type="spellStart"/>
      <w:r w:rsidR="008D4968" w:rsidRPr="000A6B73">
        <w:t>alla</w:t>
      </w:r>
      <w:proofErr w:type="spellEnd"/>
      <w:r w:rsidR="008D4968" w:rsidRPr="000A6B73">
        <w:t xml:space="preserve"> </w:t>
      </w:r>
      <w:proofErr w:type="spellStart"/>
      <w:r w:rsidR="008D4968" w:rsidRPr="000A6B73">
        <w:t>pandemia</w:t>
      </w:r>
      <w:proofErr w:type="spellEnd"/>
      <w:r w:rsidR="008D4968" w:rsidRPr="000A6B73">
        <w:t xml:space="preserve"> di Covid-19 non </w:t>
      </w:r>
      <w:proofErr w:type="spellStart"/>
      <w:r w:rsidR="008D4968" w:rsidRPr="000A6B73">
        <w:t>dovesse</w:t>
      </w:r>
      <w:proofErr w:type="spellEnd"/>
      <w:r w:rsidR="008D4968" w:rsidRPr="000A6B73">
        <w:t xml:space="preserve"> </w:t>
      </w:r>
      <w:proofErr w:type="spellStart"/>
      <w:r w:rsidR="008D4968" w:rsidRPr="000A6B73">
        <w:t>consentire</w:t>
      </w:r>
      <w:proofErr w:type="spellEnd"/>
      <w:r w:rsidR="008D4968" w:rsidRPr="000A6B73">
        <w:t xml:space="preserve"> la </w:t>
      </w:r>
      <w:proofErr w:type="spellStart"/>
      <w:r w:rsidR="008D4968" w:rsidRPr="000A6B73">
        <w:t>didattica</w:t>
      </w:r>
      <w:proofErr w:type="spellEnd"/>
      <w:r w:rsidR="008D4968" w:rsidRPr="000A6B73">
        <w:t xml:space="preserve"> in </w:t>
      </w:r>
      <w:proofErr w:type="spellStart"/>
      <w:r w:rsidR="008D4968" w:rsidRPr="000A6B73">
        <w:t>presenza</w:t>
      </w:r>
      <w:proofErr w:type="spellEnd"/>
      <w:r w:rsidR="008D4968" w:rsidRPr="000A6B73">
        <w:t xml:space="preserve">, </w:t>
      </w:r>
      <w:proofErr w:type="spellStart"/>
      <w:r w:rsidR="008D4968" w:rsidRPr="000A6B73">
        <w:t>sarà</w:t>
      </w:r>
      <w:proofErr w:type="spellEnd"/>
      <w:r w:rsidR="008D4968" w:rsidRPr="000A6B73">
        <w:t xml:space="preserve"> </w:t>
      </w:r>
      <w:proofErr w:type="spellStart"/>
      <w:r w:rsidR="008D4968" w:rsidRPr="000A6B73">
        <w:t>garantita</w:t>
      </w:r>
      <w:proofErr w:type="spellEnd"/>
      <w:r w:rsidR="008D4968" w:rsidRPr="000A6B73">
        <w:t xml:space="preserve"> </w:t>
      </w:r>
      <w:proofErr w:type="spellStart"/>
      <w:r w:rsidR="008D4968" w:rsidRPr="000A6B73">
        <w:t>l’erogazione</w:t>
      </w:r>
      <w:proofErr w:type="spellEnd"/>
      <w:r w:rsidR="008D4968" w:rsidRPr="000A6B73">
        <w:t xml:space="preserve"> a </w:t>
      </w:r>
      <w:proofErr w:type="spellStart"/>
      <w:r w:rsidR="008D4968" w:rsidRPr="000A6B73">
        <w:t>distanza</w:t>
      </w:r>
      <w:proofErr w:type="spellEnd"/>
      <w:r w:rsidR="008D4968" w:rsidRPr="000A6B73">
        <w:t xml:space="preserve"> </w:t>
      </w:r>
      <w:proofErr w:type="spellStart"/>
      <w:r w:rsidR="008D4968" w:rsidRPr="000A6B73">
        <w:t>dell’insegnamento</w:t>
      </w:r>
      <w:proofErr w:type="spellEnd"/>
      <w:r w:rsidR="008D4968" w:rsidRPr="000A6B73">
        <w:t xml:space="preserve"> con </w:t>
      </w:r>
      <w:proofErr w:type="spellStart"/>
      <w:r w:rsidR="008D4968" w:rsidRPr="000A6B73">
        <w:t>modalità</w:t>
      </w:r>
      <w:proofErr w:type="spellEnd"/>
      <w:r w:rsidR="008D4968" w:rsidRPr="000A6B73">
        <w:t xml:space="preserve"> </w:t>
      </w:r>
      <w:proofErr w:type="spellStart"/>
      <w:r w:rsidR="008D4968" w:rsidRPr="000A6B73">
        <w:t>che</w:t>
      </w:r>
      <w:proofErr w:type="spellEnd"/>
      <w:r w:rsidR="008D4968" w:rsidRPr="000A6B73">
        <w:t xml:space="preserve"> </w:t>
      </w:r>
      <w:proofErr w:type="spellStart"/>
      <w:r w:rsidR="008D4968" w:rsidRPr="000A6B73">
        <w:t>verranno</w:t>
      </w:r>
      <w:proofErr w:type="spellEnd"/>
      <w:r w:rsidR="008D4968" w:rsidRPr="000A6B73">
        <w:t xml:space="preserve"> </w:t>
      </w:r>
      <w:proofErr w:type="spellStart"/>
      <w:r w:rsidR="008D4968" w:rsidRPr="000A6B73">
        <w:t>comunicate</w:t>
      </w:r>
      <w:proofErr w:type="spellEnd"/>
      <w:r w:rsidR="008D4968" w:rsidRPr="000A6B73">
        <w:t xml:space="preserve"> in tempo utile agli studenti.</w:t>
      </w:r>
    </w:p>
    <w:p w14:paraId="5C387E60" w14:textId="77777777" w:rsidR="00B70C15" w:rsidRDefault="00B70C1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E54FDEA" w14:textId="77777777" w:rsidR="00B70C15" w:rsidRPr="008D4968" w:rsidRDefault="00B70C15">
      <w:pPr>
        <w:pStyle w:val="Testo2"/>
        <w:rPr>
          <w:rFonts w:ascii="Times New Roman" w:eastAsia="Times New Roman" w:hAnsi="Times New Roman" w:cs="Times New Roman"/>
          <w:lang w:val="it-IT"/>
        </w:rPr>
      </w:pPr>
      <w:r w:rsidRPr="008D4968">
        <w:rPr>
          <w:rFonts w:ascii="Times New Roman" w:hAnsi="Times New Roman"/>
          <w:lang w:val="it-IT"/>
        </w:rPr>
        <w:t xml:space="preserve">Gli studenti sono chiamati a interagire attivamente durante le lezioni, allenandosi a interpretare i prodotti culturali per bambini e ragazzi con l’aiuto degli strumenti e delle nozioni apprese; a cogliere le differenze tra i segmenti di pubblico e le specificità dello scenario italiano; a un rilancio di idee in cui ognuno possa condividere intuizioni personali maturate grazie a competenze previe e nuove conoscenze acquisite; a calarsi nell’ottica sia dei fruitori che dei creatori delle opere in questione, formulando ipotesi di lettura e di lavoro. </w:t>
      </w:r>
    </w:p>
    <w:p w14:paraId="1D9E006E" w14:textId="4A739391" w:rsidR="00B70C15" w:rsidRPr="008D4968" w:rsidRDefault="00B70C15">
      <w:pPr>
        <w:pStyle w:val="Testo2"/>
        <w:rPr>
          <w:lang w:val="it-IT"/>
        </w:rPr>
      </w:pPr>
      <w:r w:rsidRPr="008D4968">
        <w:rPr>
          <w:rFonts w:ascii="Times New Roman" w:hAnsi="Times New Roman"/>
          <w:lang w:val="it-IT"/>
        </w:rPr>
        <w:t xml:space="preserve">Nel componimento scritto, valido come prova finale, gli studenti potranno decidere, da soli o in gruppi di due o tre persone, se analizzare un’opera a scelta, sul modello degli esempi mostrati a lezione, o se sviluppare un concept personale, cioè un’idea di progetto per </w:t>
      </w:r>
      <w:proofErr w:type="spellStart"/>
      <w:r w:rsidRPr="008D4968">
        <w:rPr>
          <w:rFonts w:ascii="Times New Roman" w:hAnsi="Times New Roman"/>
          <w:i/>
          <w:iCs/>
          <w:lang w:val="it-IT"/>
        </w:rPr>
        <w:t>kids</w:t>
      </w:r>
      <w:proofErr w:type="spellEnd"/>
      <w:r w:rsidRPr="008D4968">
        <w:rPr>
          <w:rFonts w:ascii="Times New Roman" w:hAnsi="Times New Roman"/>
          <w:lang w:val="it-IT"/>
        </w:rPr>
        <w:t xml:space="preserve">. In entrambi i casi, agli studenti è richiesta una conoscenza - almeno per sommi capi - del panorama di riferimento, nonché la capacità di inquadrare la propria proposta in un orizzonte culturale preciso, argomentandone le opinioni in modo chiaro e convincente. La valutazione dei componimenti scritti seguirà i criteri delineati durante il corso, tenendo conto della cura nella redazione del testo, la ricerca delle fonti, l’autonomia di pensiero e il senso critico dimostrati dagli studenti. </w:t>
      </w:r>
      <w:r>
        <w:rPr>
          <w:rFonts w:ascii="Times New Roman" w:hAnsi="Times New Roman"/>
          <w:lang w:val="it-IT"/>
        </w:rPr>
        <w:t>La consegna degli elaborati è necessaria per l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it-IT"/>
        </w:rPr>
        <w:t>attestazione della frequenza del laboratorio</w:t>
      </w:r>
      <w:r w:rsidRPr="008D4968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ma non è prevista una valutazione analoga a quella degli esami.</w:t>
      </w:r>
      <w:r w:rsidR="008D4968">
        <w:rPr>
          <w:rFonts w:ascii="Times New Roman" w:hAnsi="Times New Roman"/>
          <w:lang w:val="it-IT"/>
        </w:rPr>
        <w:t xml:space="preserve"> </w:t>
      </w:r>
    </w:p>
    <w:p w14:paraId="518350B4" w14:textId="77777777" w:rsidR="00B70C15" w:rsidRDefault="00B70C1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5BBF3F1" w14:textId="77777777" w:rsidR="00B70C15" w:rsidRPr="008D4968" w:rsidRDefault="00B70C15">
      <w:pPr>
        <w:pStyle w:val="Testo2"/>
        <w:rPr>
          <w:lang w:val="it-IT"/>
        </w:rPr>
      </w:pPr>
      <w:r>
        <w:rPr>
          <w:lang w:val="it-IT"/>
        </w:rPr>
        <w:t>Avendo carattere introduttivo, l</w:t>
      </w:r>
      <w:r>
        <w:rPr>
          <w:lang w:val="fr-FR"/>
        </w:rPr>
        <w:t>’</w:t>
      </w:r>
      <w:r>
        <w:rPr>
          <w:lang w:val="it-IT"/>
        </w:rPr>
        <w:t xml:space="preserve">insegnamento non necessita di prerequisiti relativi ai contenuti. </w:t>
      </w:r>
      <w:r w:rsidRPr="008D4968">
        <w:rPr>
          <w:lang w:val="it-IT"/>
        </w:rPr>
        <w:t>L’interesse e la curiosità per la materia sono gli unici requisiti davvero indispensabili</w:t>
      </w:r>
      <w:r>
        <w:rPr>
          <w:lang w:val="it-IT"/>
        </w:rPr>
        <w:t xml:space="preserve">. Inoltre, si chiede la sufficiente apertura nel considerare </w:t>
      </w:r>
      <w:r w:rsidRPr="008D4968">
        <w:rPr>
          <w:lang w:val="it-IT"/>
        </w:rPr>
        <w:t>le opere di fantasia per bambini e ragazzi come parte integrante</w:t>
      </w:r>
      <w:r>
        <w:rPr>
          <w:lang w:val="it-IT"/>
        </w:rPr>
        <w:t xml:space="preserve"> degli strumenti </w:t>
      </w:r>
      <w:r w:rsidRPr="008D4968">
        <w:rPr>
          <w:lang w:val="it-IT"/>
        </w:rPr>
        <w:t>“didattici” che hanno un profondo impatto sulla propria vita.</w:t>
      </w:r>
    </w:p>
    <w:p w14:paraId="7C77C2D0" w14:textId="77777777" w:rsidR="00B70C15" w:rsidRPr="008D4968" w:rsidRDefault="00B70C15">
      <w:pPr>
        <w:pStyle w:val="Testo2"/>
        <w:spacing w:before="120"/>
        <w:rPr>
          <w:i/>
          <w:iCs/>
          <w:lang w:val="it-IT"/>
        </w:rPr>
      </w:pPr>
      <w:r>
        <w:rPr>
          <w:i/>
          <w:iCs/>
          <w:lang w:val="it-IT"/>
        </w:rPr>
        <w:t>Orario e luogo di ricevimento</w:t>
      </w:r>
    </w:p>
    <w:p w14:paraId="1979A0F9" w14:textId="77777777" w:rsidR="00B70C15" w:rsidRPr="008D4968" w:rsidRDefault="00B70C15">
      <w:pPr>
        <w:pStyle w:val="Testo2"/>
        <w:rPr>
          <w:lang w:val="it-IT"/>
        </w:rPr>
      </w:pPr>
      <w:r w:rsidRPr="008D4968">
        <w:rPr>
          <w:lang w:val="it-IT"/>
        </w:rPr>
        <w:t>La Prof. Maria Chiara Oltolini</w:t>
      </w:r>
      <w:r>
        <w:rPr>
          <w:lang w:val="it-IT"/>
        </w:rPr>
        <w:t xml:space="preserve"> riceve gli studenti su appuntamento </w:t>
      </w:r>
      <w:r w:rsidRPr="008D4968">
        <w:rPr>
          <w:lang w:val="it-IT"/>
        </w:rPr>
        <w:t xml:space="preserve">ed </w:t>
      </w:r>
      <w:r>
        <w:rPr>
          <w:lang w:val="it-IT"/>
        </w:rPr>
        <w:t>è contattabile all</w:t>
      </w:r>
      <w:r>
        <w:rPr>
          <w:lang w:val="fr-FR"/>
        </w:rPr>
        <w:t>’</w:t>
      </w:r>
      <w:r>
        <w:rPr>
          <w:lang w:val="it-IT"/>
        </w:rPr>
        <w:t xml:space="preserve">indirizzo e-mail: </w:t>
      </w:r>
      <w:hyperlink r:id="rId8" w:history="1">
        <w:r w:rsidRPr="008D4968">
          <w:rPr>
            <w:rStyle w:val="Hyperlink0"/>
            <w:lang w:val="it-IT"/>
          </w:rPr>
          <w:t>mariachiara.oltolini@unicatt.it</w:t>
        </w:r>
      </w:hyperlink>
      <w:r w:rsidRPr="008D4968">
        <w:rPr>
          <w:lang w:val="it-IT"/>
        </w:rPr>
        <w:t>.</w:t>
      </w:r>
    </w:p>
    <w:sectPr w:rsidR="00B70C15" w:rsidRPr="008D496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9E8E" w14:textId="77777777" w:rsidR="00B70C15" w:rsidRDefault="00B70C15">
      <w:pPr>
        <w:spacing w:line="240" w:lineRule="auto"/>
      </w:pPr>
      <w:r>
        <w:separator/>
      </w:r>
    </w:p>
  </w:endnote>
  <w:endnote w:type="continuationSeparator" w:id="0">
    <w:p w14:paraId="2746E050" w14:textId="77777777" w:rsidR="00B70C15" w:rsidRDefault="00B70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F84D" w14:textId="77777777" w:rsidR="00B70C15" w:rsidRDefault="00B70C15">
      <w:pPr>
        <w:spacing w:line="240" w:lineRule="auto"/>
      </w:pPr>
      <w:r>
        <w:separator/>
      </w:r>
    </w:p>
  </w:footnote>
  <w:footnote w:type="continuationSeparator" w:id="0">
    <w:p w14:paraId="516DB168" w14:textId="77777777" w:rsidR="00B70C15" w:rsidRDefault="00B70C15">
      <w:pPr>
        <w:spacing w:line="240" w:lineRule="auto"/>
      </w:pPr>
      <w:r>
        <w:continuationSeparator/>
      </w:r>
    </w:p>
  </w:footnote>
  <w:footnote w:id="1">
    <w:p w14:paraId="0E9D6125" w14:textId="6BD67BE5" w:rsidR="00AE7C8C" w:rsidRDefault="00AE7C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9217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43BD"/>
    <w:rsid w:val="00043E8F"/>
    <w:rsid w:val="002B1D3A"/>
    <w:rsid w:val="003B497C"/>
    <w:rsid w:val="00661D6C"/>
    <w:rsid w:val="008D4968"/>
    <w:rsid w:val="00AE7C8C"/>
    <w:rsid w:val="00B70C15"/>
    <w:rsid w:val="00E62271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00ED875C"/>
  <w15:chartTrackingRefBased/>
  <w15:docId w15:val="{BC7DB3B5-10C9-4645-820E-358ED4B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olo11">
    <w:name w:val="Titolo 11"/>
    <w:next w:val="Titolo21"/>
    <w:autoRedefine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</w:rPr>
  </w:style>
  <w:style w:type="paragraph" w:customStyle="1" w:styleId="Titolo21">
    <w:name w:val="Titolo 21"/>
    <w:next w:val="Titolo31"/>
    <w:autoRedefine/>
    <w:pPr>
      <w:tabs>
        <w:tab w:val="left" w:pos="284"/>
      </w:tabs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</w:rPr>
  </w:style>
  <w:style w:type="paragraph" w:customStyle="1" w:styleId="Titolo31">
    <w:name w:val="Titolo 31"/>
    <w:next w:val="Normale"/>
    <w:autoRedefine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eastAsia="Arial Unicode MS" w:hAnsi="Times" w:cs="Arial Unicode MS"/>
      <w:i/>
      <w:iCs/>
      <w:caps/>
      <w:color w:val="000000"/>
      <w:sz w:val="18"/>
      <w:szCs w:val="18"/>
      <w:u w:color="000000"/>
    </w:rPr>
  </w:style>
  <w:style w:type="paragraph" w:customStyle="1" w:styleId="Testonotaapidipagina1">
    <w:name w:val="Testo nota a piè di pagina1"/>
    <w:autoRedefine/>
    <w:pPr>
      <w:tabs>
        <w:tab w:val="left" w:pos="284"/>
      </w:tabs>
      <w:jc w:val="both"/>
    </w:pPr>
    <w:rPr>
      <w:color w:val="000000"/>
      <w:u w:color="000000"/>
    </w:rPr>
  </w:style>
  <w:style w:type="paragraph" w:customStyle="1" w:styleId="Normale1">
    <w:name w:val="Normale1"/>
    <w:autoRedefine/>
    <w:pP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</w:rPr>
  </w:style>
  <w:style w:type="paragraph" w:customStyle="1" w:styleId="Testo2">
    <w:name w:val="Testo 2"/>
    <w:autoRedefine/>
    <w:pPr>
      <w:tabs>
        <w:tab w:val="left" w:pos="284"/>
      </w:tabs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/>
    </w:rPr>
  </w:style>
  <w:style w:type="character" w:customStyle="1" w:styleId="Hyperlink0">
    <w:name w:val="Hyperlink.0"/>
    <w:autoRedefine/>
    <w:rPr>
      <w:color w:val="0563C1"/>
      <w:u w:val="single" w:color="0563C1"/>
    </w:rPr>
  </w:style>
  <w:style w:type="character" w:styleId="Rimandocommento">
    <w:name w:val="annotation reference"/>
    <w:locked/>
    <w:rsid w:val="00EF43BD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EF43BD"/>
  </w:style>
  <w:style w:type="character" w:customStyle="1" w:styleId="TestocommentoCarattere">
    <w:name w:val="Testo commento Carattere"/>
    <w:link w:val="Testocommento"/>
    <w:rsid w:val="00EF43BD"/>
    <w:rPr>
      <w:rFonts w:eastAsia="Arial Unicode MS" w:cs="Arial Unicode MS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EF43BD"/>
    <w:rPr>
      <w:b/>
      <w:bCs/>
    </w:rPr>
  </w:style>
  <w:style w:type="character" w:customStyle="1" w:styleId="SoggettocommentoCarattere">
    <w:name w:val="Soggetto commento Carattere"/>
    <w:link w:val="Soggettocommento"/>
    <w:rsid w:val="00EF43BD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E62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62271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B1D3A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1D3A"/>
    <w:rPr>
      <w:rFonts w:eastAsia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B1D3A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1D3A"/>
    <w:rPr>
      <w:rFonts w:eastAsia="Arial Unicode MS" w:cs="Arial Unicode MS"/>
      <w:color w:val="000000"/>
      <w:u w:color="000000"/>
      <w:lang w:eastAsia="en-US"/>
    </w:rPr>
  </w:style>
  <w:style w:type="paragraph" w:styleId="Testonotaapidipagina">
    <w:name w:val="footnote text"/>
    <w:basedOn w:val="Normale"/>
    <w:link w:val="TestonotaapidipaginaCarattere"/>
    <w:locked/>
    <w:rsid w:val="00AE7C8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7C8C"/>
    <w:rPr>
      <w:rFonts w:eastAsia="Arial Unicode MS" w:cs="Arial Unicode MS"/>
      <w:color w:val="000000"/>
      <w:u w:color="000000"/>
      <w:lang w:eastAsia="en-US"/>
    </w:rPr>
  </w:style>
  <w:style w:type="character" w:styleId="Rimandonotaapidipagina">
    <w:name w:val="footnote reference"/>
    <w:basedOn w:val="Carpredefinitoparagrafo"/>
    <w:locked/>
    <w:rsid w:val="00AE7C8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hiara.oltoli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toria-delle-serie-tv-9788875274764-69721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C7A2-AEAE-4780-A0D0-65AF78C4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mailto:mariachiara.oltolini@unicatt.it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Solimene Laura</dc:creator>
  <cp:keywords/>
  <cp:lastModifiedBy>Rolli Andrea</cp:lastModifiedBy>
  <cp:revision>7</cp:revision>
  <dcterms:created xsi:type="dcterms:W3CDTF">2021-06-23T06:54:00Z</dcterms:created>
  <dcterms:modified xsi:type="dcterms:W3CDTF">2023-07-13T07:35:00Z</dcterms:modified>
</cp:coreProperties>
</file>