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91DD" w14:textId="6C10D78C" w:rsidR="0090222A" w:rsidRPr="0090222A" w:rsidRDefault="0090222A" w:rsidP="0090222A">
      <w:pPr>
        <w:pStyle w:val="Standard"/>
        <w:rPr>
          <w:rFonts w:hint="eastAsia"/>
          <w:b/>
          <w:bCs/>
          <w:sz w:val="20"/>
          <w:szCs w:val="20"/>
        </w:rPr>
      </w:pPr>
      <w:r w:rsidRPr="0090222A">
        <w:rPr>
          <w:b/>
          <w:bCs/>
          <w:sz w:val="20"/>
          <w:szCs w:val="20"/>
        </w:rPr>
        <w:t>S</w:t>
      </w:r>
      <w:r w:rsidRPr="0090222A">
        <w:rPr>
          <w:rFonts w:hint="eastAsia"/>
          <w:b/>
          <w:bCs/>
          <w:sz w:val="20"/>
          <w:szCs w:val="20"/>
        </w:rPr>
        <w:t xml:space="preserve">toria moderna </w:t>
      </w:r>
    </w:p>
    <w:p w14:paraId="11B484C0" w14:textId="704DBDD4" w:rsidR="003721D7" w:rsidRPr="0090222A" w:rsidRDefault="0090222A">
      <w:pPr>
        <w:pStyle w:val="Standard"/>
        <w:rPr>
          <w:rFonts w:hint="eastAsia"/>
          <w:smallCaps/>
          <w:sz w:val="18"/>
          <w:szCs w:val="18"/>
        </w:rPr>
      </w:pPr>
      <w:r w:rsidRPr="0090222A">
        <w:rPr>
          <w:rFonts w:hint="eastAsia"/>
          <w:smallCaps/>
          <w:sz w:val="18"/>
          <w:szCs w:val="18"/>
        </w:rPr>
        <w:t>Prof. Angelo Bianchi</w:t>
      </w:r>
    </w:p>
    <w:p w14:paraId="31A828DB" w14:textId="77777777" w:rsidR="0090222A" w:rsidRPr="0090222A" w:rsidRDefault="0090222A">
      <w:pPr>
        <w:pStyle w:val="Standard"/>
        <w:rPr>
          <w:rFonts w:hint="eastAsia"/>
          <w:sz w:val="18"/>
          <w:szCs w:val="18"/>
        </w:rPr>
      </w:pPr>
    </w:p>
    <w:p w14:paraId="4ACD4A6A" w14:textId="3C542559" w:rsidR="003721D7" w:rsidRPr="0090222A" w:rsidRDefault="0090222A">
      <w:pPr>
        <w:pStyle w:val="Standard"/>
        <w:rPr>
          <w:rFonts w:hint="eastAsia"/>
          <w:sz w:val="18"/>
          <w:szCs w:val="18"/>
        </w:rPr>
      </w:pPr>
      <w:r w:rsidRPr="0090222A">
        <w:rPr>
          <w:smallCaps/>
          <w:sz w:val="18"/>
          <w:szCs w:val="18"/>
        </w:rPr>
        <w:t>GR. A-K</w:t>
      </w:r>
      <w:r w:rsidRPr="0090222A">
        <w:rPr>
          <w:sz w:val="18"/>
          <w:szCs w:val="18"/>
        </w:rPr>
        <w:t xml:space="preserve">: </w:t>
      </w:r>
      <w:r w:rsidRPr="0090222A">
        <w:rPr>
          <w:i/>
          <w:iCs/>
          <w:sz w:val="18"/>
          <w:szCs w:val="18"/>
        </w:rPr>
        <w:t xml:space="preserve">Prof. Angelo </w:t>
      </w:r>
      <w:r w:rsidRPr="0090222A">
        <w:rPr>
          <w:rFonts w:hint="eastAsia"/>
          <w:i/>
          <w:iCs/>
          <w:sz w:val="18"/>
          <w:szCs w:val="18"/>
        </w:rPr>
        <w:t>Bianchi</w:t>
      </w:r>
    </w:p>
    <w:p w14:paraId="36EDA8E8" w14:textId="46DA612E"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t>OBIETTIVI DEL CORSO E RISULTATI DI APPRENDIMENTO ATTESI:</w:t>
      </w:r>
    </w:p>
    <w:p w14:paraId="56758C7E" w14:textId="77777777" w:rsidR="003721D7" w:rsidRPr="0090222A" w:rsidRDefault="0090222A" w:rsidP="0090222A">
      <w:pPr>
        <w:pStyle w:val="Standard"/>
        <w:jc w:val="both"/>
        <w:rPr>
          <w:rFonts w:hint="eastAsia"/>
          <w:sz w:val="20"/>
          <w:szCs w:val="20"/>
        </w:rPr>
      </w:pPr>
      <w:r w:rsidRPr="0090222A">
        <w:rPr>
          <w:sz w:val="20"/>
          <w:szCs w:val="20"/>
        </w:rPr>
        <w:t>Il corso si propone di creare negli studenti interesse per la conoscenza storica e una generale comprensione delle principali linee di svolgimento della Storia moderna dall’età del Rinascimento fino all’avvio del processo di unificazione nazionale italiana. Si prefigge inoltre di presentare agli studenti gli strumenti per la conoscenza e la comprensione anche attraverso l’approfondimento di particolari aspetti di lunga durata, colti attraverso lo studio diretto delle fonti.</w:t>
      </w:r>
    </w:p>
    <w:p w14:paraId="769BB129" w14:textId="77777777" w:rsidR="003721D7" w:rsidRPr="0090222A" w:rsidRDefault="0090222A" w:rsidP="0090222A">
      <w:pPr>
        <w:pStyle w:val="Standard"/>
        <w:jc w:val="both"/>
        <w:rPr>
          <w:rFonts w:hint="eastAsia"/>
          <w:sz w:val="20"/>
          <w:szCs w:val="20"/>
        </w:rPr>
      </w:pPr>
      <w:r w:rsidRPr="0090222A">
        <w:rPr>
          <w:sz w:val="20"/>
          <w:szCs w:val="20"/>
        </w:rPr>
        <w:t>A questo proposito, nel corso del primo semestre (I modulo), si svolgeranno lezioni dedicate alla presentazione dei nodi politici, sociali, economici e culturali più rilevanti della storia moderna, ed alcune lezioni seminariali dedicate all’approfondimento monografico di argomenti rilevanti della storia mondiale.</w:t>
      </w:r>
    </w:p>
    <w:p w14:paraId="4DE8679B" w14:textId="77777777" w:rsidR="003721D7" w:rsidRPr="0090222A" w:rsidRDefault="0090222A" w:rsidP="0090222A">
      <w:pPr>
        <w:pStyle w:val="Standard"/>
        <w:jc w:val="both"/>
        <w:rPr>
          <w:rFonts w:hint="eastAsia"/>
          <w:sz w:val="20"/>
          <w:szCs w:val="20"/>
        </w:rPr>
      </w:pPr>
      <w:r w:rsidRPr="0090222A">
        <w:rPr>
          <w:sz w:val="20"/>
          <w:szCs w:val="20"/>
        </w:rPr>
        <w:t>Durante il secondo semestre (II modulo), verranno presentati alcuni aspetti della storia europea dal Rinascimento all’età del Risorgimento nazionale, con particolare riferimento al tema della guerra e della pace, affrontato in diversi momenti e attraverso varie prospettive (trattati teorici, avvenimenti, attività politico-diplomatiche, et c.).</w:t>
      </w:r>
    </w:p>
    <w:p w14:paraId="67DB8CEF" w14:textId="42DDBA57" w:rsidR="003721D7" w:rsidRPr="0090222A" w:rsidRDefault="0090222A" w:rsidP="0090222A">
      <w:pPr>
        <w:pStyle w:val="Standard"/>
        <w:spacing w:before="120"/>
        <w:rPr>
          <w:rFonts w:hint="eastAsia"/>
          <w:smallCaps/>
          <w:sz w:val="18"/>
          <w:szCs w:val="18"/>
        </w:rPr>
      </w:pPr>
      <w:r>
        <w:rPr>
          <w:smallCaps/>
          <w:sz w:val="18"/>
          <w:szCs w:val="18"/>
        </w:rPr>
        <w:t>C</w:t>
      </w:r>
      <w:r w:rsidRPr="0090222A">
        <w:rPr>
          <w:rFonts w:hint="eastAsia"/>
          <w:smallCaps/>
          <w:sz w:val="18"/>
          <w:szCs w:val="18"/>
        </w:rPr>
        <w:t>onoscenza e comprensione</w:t>
      </w:r>
    </w:p>
    <w:p w14:paraId="6CBA8EAE" w14:textId="77777777" w:rsidR="003721D7" w:rsidRPr="0090222A" w:rsidRDefault="0090222A" w:rsidP="0090222A">
      <w:pPr>
        <w:pStyle w:val="Standard"/>
        <w:jc w:val="both"/>
        <w:rPr>
          <w:rFonts w:hint="eastAsia"/>
          <w:sz w:val="20"/>
          <w:szCs w:val="20"/>
        </w:rPr>
      </w:pPr>
      <w:r w:rsidRPr="0090222A">
        <w:rPr>
          <w:sz w:val="20"/>
          <w:szCs w:val="20"/>
        </w:rPr>
        <w:t>Al termine dell'insegnamento, lo studente sarà in grado di: 1. identificare le fasi della storia moderna, con particolare attenzione alle scansioni cronologiche; 2. saprà orientarsi nella geografia storica degli stati europei di antico regime.</w:t>
      </w:r>
    </w:p>
    <w:p w14:paraId="4C008B97" w14:textId="05A1D6CE" w:rsidR="003721D7" w:rsidRPr="0090222A" w:rsidRDefault="0090222A" w:rsidP="0090222A">
      <w:pPr>
        <w:pStyle w:val="Standard"/>
        <w:spacing w:before="120"/>
        <w:rPr>
          <w:rFonts w:hint="eastAsia"/>
          <w:smallCaps/>
          <w:sz w:val="18"/>
          <w:szCs w:val="18"/>
        </w:rPr>
      </w:pPr>
      <w:r>
        <w:rPr>
          <w:smallCaps/>
          <w:sz w:val="18"/>
          <w:szCs w:val="18"/>
        </w:rPr>
        <w:t>C</w:t>
      </w:r>
      <w:r w:rsidRPr="0090222A">
        <w:rPr>
          <w:smallCaps/>
          <w:sz w:val="18"/>
          <w:szCs w:val="18"/>
        </w:rPr>
        <w:t>apacità</w:t>
      </w:r>
      <w:r w:rsidRPr="0090222A">
        <w:rPr>
          <w:rFonts w:hint="eastAsia"/>
          <w:smallCaps/>
          <w:sz w:val="18"/>
          <w:szCs w:val="18"/>
        </w:rPr>
        <w:t xml:space="preserve"> di applicare conoscenza e comprensione</w:t>
      </w:r>
    </w:p>
    <w:p w14:paraId="4BF80CBA" w14:textId="77777777" w:rsidR="003721D7" w:rsidRPr="0090222A" w:rsidRDefault="0090222A" w:rsidP="0090222A">
      <w:pPr>
        <w:pStyle w:val="Standard"/>
        <w:jc w:val="both"/>
        <w:rPr>
          <w:rFonts w:hint="eastAsia"/>
          <w:sz w:val="20"/>
          <w:szCs w:val="20"/>
        </w:rPr>
      </w:pPr>
      <w:r w:rsidRPr="0090222A">
        <w:rPr>
          <w:sz w:val="20"/>
          <w:szCs w:val="20"/>
        </w:rPr>
        <w:t>Al termine dell'insegnamento, lo studente sarà progressivamente abituato a storicizzare il presente, come esito della conoscenza storica. Inoltre sarà in grado di leggere e comprendere semplici documenti storici, anche di natura non letteraria.</w:t>
      </w:r>
    </w:p>
    <w:p w14:paraId="060D127E" w14:textId="77777777" w:rsidR="003721D7" w:rsidRPr="0090222A" w:rsidRDefault="003721D7">
      <w:pPr>
        <w:pStyle w:val="Standard"/>
        <w:rPr>
          <w:rFonts w:hint="eastAsia"/>
          <w:sz w:val="18"/>
          <w:szCs w:val="18"/>
        </w:rPr>
      </w:pPr>
    </w:p>
    <w:p w14:paraId="3E8B13DC" w14:textId="0838D745"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t>PROGRAMMA DEL CORSO</w:t>
      </w:r>
    </w:p>
    <w:p w14:paraId="7885BF94" w14:textId="77777777" w:rsidR="003721D7" w:rsidRPr="0090222A" w:rsidRDefault="0090222A">
      <w:pPr>
        <w:pStyle w:val="Standard"/>
        <w:rPr>
          <w:rFonts w:hint="eastAsia"/>
          <w:sz w:val="20"/>
          <w:szCs w:val="20"/>
        </w:rPr>
      </w:pPr>
      <w:r w:rsidRPr="0090222A">
        <w:rPr>
          <w:sz w:val="20"/>
          <w:szCs w:val="20"/>
        </w:rPr>
        <w:t>I MODULO (I semestre) (Corso istituzionale – 6 crediti – non iterabile)</w:t>
      </w:r>
    </w:p>
    <w:p w14:paraId="3E1376BE" w14:textId="77777777" w:rsidR="003721D7" w:rsidRPr="0090222A" w:rsidRDefault="0090222A" w:rsidP="0090222A">
      <w:pPr>
        <w:pStyle w:val="Standard"/>
        <w:ind w:left="284" w:hanging="284"/>
        <w:rPr>
          <w:rFonts w:hint="eastAsia"/>
          <w:sz w:val="20"/>
          <w:szCs w:val="20"/>
        </w:rPr>
      </w:pPr>
      <w:r w:rsidRPr="0090222A">
        <w:rPr>
          <w:sz w:val="20"/>
          <w:szCs w:val="20"/>
        </w:rPr>
        <w:t>–</w:t>
      </w:r>
      <w:r w:rsidRPr="0090222A">
        <w:rPr>
          <w:sz w:val="20"/>
          <w:szCs w:val="20"/>
        </w:rPr>
        <w:tab/>
        <w:t>Parte generale e di avviamento allo studio della storia moderna (</w:t>
      </w:r>
      <w:proofErr w:type="spellStart"/>
      <w:r w:rsidRPr="0090222A">
        <w:rPr>
          <w:sz w:val="20"/>
          <w:szCs w:val="20"/>
        </w:rPr>
        <w:t>secc</w:t>
      </w:r>
      <w:proofErr w:type="spellEnd"/>
      <w:r w:rsidRPr="0090222A">
        <w:rPr>
          <w:sz w:val="20"/>
          <w:szCs w:val="20"/>
        </w:rPr>
        <w:t>. XV-XIX).</w:t>
      </w:r>
    </w:p>
    <w:p w14:paraId="0BBF391C" w14:textId="77777777" w:rsidR="003721D7" w:rsidRPr="0090222A" w:rsidRDefault="0090222A">
      <w:pPr>
        <w:pStyle w:val="Standard"/>
        <w:rPr>
          <w:rFonts w:hint="eastAsia"/>
          <w:sz w:val="20"/>
          <w:szCs w:val="20"/>
        </w:rPr>
      </w:pPr>
      <w:r w:rsidRPr="0090222A">
        <w:rPr>
          <w:sz w:val="20"/>
          <w:szCs w:val="20"/>
        </w:rPr>
        <w:t>II MODULO (II semestre) (Corso avanzato - 6 crediti – iterabile)</w:t>
      </w:r>
    </w:p>
    <w:p w14:paraId="41FE91BB" w14:textId="77777777" w:rsidR="003721D7" w:rsidRPr="0090222A" w:rsidRDefault="0090222A" w:rsidP="0090222A">
      <w:pPr>
        <w:pStyle w:val="Standard"/>
        <w:ind w:left="284" w:hanging="284"/>
        <w:rPr>
          <w:rFonts w:hint="eastAsia"/>
          <w:sz w:val="20"/>
          <w:szCs w:val="20"/>
        </w:rPr>
      </w:pPr>
      <w:r w:rsidRPr="0090222A">
        <w:rPr>
          <w:sz w:val="20"/>
          <w:szCs w:val="20"/>
        </w:rPr>
        <w:t>–</w:t>
      </w:r>
      <w:r w:rsidRPr="0090222A">
        <w:rPr>
          <w:sz w:val="20"/>
          <w:szCs w:val="20"/>
        </w:rPr>
        <w:tab/>
        <w:t>Dalla “guerra giusta” alla “pace perpetua”: avvenimenti, teorie, testi, storie nei secoli moderni. Il dibattito sulla guerra a cominciare dagli scritti di Machiavelli e di Erasmo da Rotterdam.</w:t>
      </w:r>
    </w:p>
    <w:p w14:paraId="5E29935D" w14:textId="77777777" w:rsidR="003721D7" w:rsidRPr="0090222A" w:rsidRDefault="003721D7">
      <w:pPr>
        <w:pStyle w:val="Standard"/>
        <w:rPr>
          <w:rFonts w:hint="eastAsia"/>
          <w:sz w:val="18"/>
          <w:szCs w:val="18"/>
        </w:rPr>
      </w:pPr>
    </w:p>
    <w:p w14:paraId="7C074E38" w14:textId="661AC6A8"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lastRenderedPageBreak/>
        <w:t>BIBLIOGRAFIA</w:t>
      </w:r>
      <w:r w:rsidR="00AF4B3D">
        <w:rPr>
          <w:rStyle w:val="Rimandonotaapidipagina"/>
          <w:rFonts w:hint="eastAsia"/>
          <w:b/>
          <w:bCs/>
          <w:i/>
          <w:iCs/>
          <w:sz w:val="18"/>
          <w:szCs w:val="18"/>
        </w:rPr>
        <w:footnoteReference w:id="1"/>
      </w:r>
    </w:p>
    <w:p w14:paraId="14653D64" w14:textId="77777777" w:rsidR="003721D7" w:rsidRPr="0090222A" w:rsidRDefault="0090222A" w:rsidP="0090222A">
      <w:pPr>
        <w:pStyle w:val="Standard"/>
        <w:ind w:left="426" w:hanging="426"/>
        <w:rPr>
          <w:rFonts w:hint="eastAsia"/>
          <w:sz w:val="18"/>
          <w:szCs w:val="18"/>
        </w:rPr>
      </w:pPr>
      <w:r w:rsidRPr="0090222A">
        <w:rPr>
          <w:sz w:val="18"/>
          <w:szCs w:val="18"/>
        </w:rPr>
        <w:t>Per il I modulo:</w:t>
      </w:r>
    </w:p>
    <w:p w14:paraId="0AF0CEB1" w14:textId="77777777" w:rsidR="003721D7" w:rsidRPr="0090222A" w:rsidRDefault="0090222A" w:rsidP="0090222A">
      <w:pPr>
        <w:pStyle w:val="Standard"/>
        <w:ind w:left="426" w:hanging="284"/>
        <w:rPr>
          <w:rFonts w:hint="eastAsia"/>
          <w:sz w:val="18"/>
          <w:szCs w:val="18"/>
        </w:rPr>
      </w:pPr>
      <w:r w:rsidRPr="0090222A">
        <w:rPr>
          <w:sz w:val="18"/>
          <w:szCs w:val="18"/>
        </w:rPr>
        <w:t>1.</w:t>
      </w:r>
      <w:r w:rsidRPr="0090222A">
        <w:rPr>
          <w:sz w:val="18"/>
          <w:szCs w:val="18"/>
        </w:rPr>
        <w:tab/>
        <w:t>Appunti delle lezioni.</w:t>
      </w:r>
    </w:p>
    <w:p w14:paraId="533619F7" w14:textId="77777777" w:rsidR="003721D7" w:rsidRPr="0090222A" w:rsidRDefault="0090222A" w:rsidP="0090222A">
      <w:pPr>
        <w:pStyle w:val="Standard"/>
        <w:ind w:left="426" w:hanging="284"/>
        <w:rPr>
          <w:rFonts w:hint="eastAsia"/>
          <w:sz w:val="18"/>
          <w:szCs w:val="18"/>
        </w:rPr>
      </w:pPr>
      <w:r w:rsidRPr="0090222A">
        <w:rPr>
          <w:sz w:val="18"/>
          <w:szCs w:val="18"/>
        </w:rPr>
        <w:t>2.</w:t>
      </w:r>
      <w:r w:rsidRPr="0090222A">
        <w:rPr>
          <w:sz w:val="18"/>
          <w:szCs w:val="18"/>
        </w:rPr>
        <w:tab/>
        <w:t>Un buon manuale di storia in uso presso i licei e un atlante storico (nel corso delle lezioni verranno presentati alcuni manuali utili allo scopo).</w:t>
      </w:r>
    </w:p>
    <w:p w14:paraId="5D8F0560" w14:textId="77777777" w:rsidR="003721D7" w:rsidRPr="00AF4B3D" w:rsidRDefault="0090222A" w:rsidP="0090222A">
      <w:pPr>
        <w:pStyle w:val="Standard"/>
        <w:ind w:left="426" w:hanging="284"/>
        <w:rPr>
          <w:rFonts w:ascii="Times New Roman" w:hAnsi="Times New Roman" w:cs="Times New Roman"/>
          <w:sz w:val="18"/>
          <w:szCs w:val="18"/>
        </w:rPr>
      </w:pPr>
      <w:r w:rsidRPr="00AF4B3D">
        <w:rPr>
          <w:rFonts w:ascii="Times New Roman" w:hAnsi="Times New Roman" w:cs="Times New Roman"/>
          <w:sz w:val="18"/>
          <w:szCs w:val="18"/>
        </w:rPr>
        <w:t>3.</w:t>
      </w:r>
      <w:r w:rsidRPr="00AF4B3D">
        <w:rPr>
          <w:rFonts w:ascii="Times New Roman" w:hAnsi="Times New Roman" w:cs="Times New Roman"/>
          <w:sz w:val="18"/>
          <w:szCs w:val="18"/>
        </w:rPr>
        <w:tab/>
        <w:t>I volumi seguenti:</w:t>
      </w:r>
    </w:p>
    <w:p w14:paraId="0787C590" w14:textId="77777777" w:rsidR="00AF4B3D" w:rsidRDefault="00AF4B3D" w:rsidP="00AF4B3D">
      <w:pPr>
        <w:rPr>
          <w:rFonts w:ascii="Times New Roman" w:hAnsi="Times New Roman" w:cs="Times New Roman"/>
          <w:i/>
          <w:color w:val="0070C0"/>
          <w:sz w:val="18"/>
          <w:szCs w:val="18"/>
        </w:rPr>
      </w:pPr>
      <w:r>
        <w:rPr>
          <w:rFonts w:ascii="Times New Roman" w:hAnsi="Times New Roman" w:cs="Times New Roman"/>
          <w:sz w:val="18"/>
          <w:szCs w:val="18"/>
        </w:rPr>
        <w:t xml:space="preserve">        </w:t>
      </w:r>
      <w:r w:rsidR="0090222A" w:rsidRPr="00AF4B3D">
        <w:rPr>
          <w:rFonts w:ascii="Times New Roman" w:hAnsi="Times New Roman" w:cs="Times New Roman"/>
          <w:sz w:val="18"/>
          <w:szCs w:val="18"/>
        </w:rPr>
        <w:t>•</w:t>
      </w:r>
      <w:r>
        <w:rPr>
          <w:rFonts w:ascii="Times New Roman" w:hAnsi="Times New Roman" w:cs="Times New Roman"/>
          <w:sz w:val="18"/>
          <w:szCs w:val="18"/>
        </w:rPr>
        <w:t xml:space="preserve"> </w:t>
      </w:r>
      <w:r w:rsidR="0090222A" w:rsidRPr="00AF4B3D">
        <w:rPr>
          <w:rFonts w:ascii="Times New Roman" w:hAnsi="Times New Roman" w:cs="Times New Roman"/>
          <w:sz w:val="18"/>
          <w:szCs w:val="18"/>
        </w:rPr>
        <w:t xml:space="preserve">P. Prodi, </w:t>
      </w:r>
      <w:r w:rsidR="0090222A" w:rsidRPr="00AF4B3D">
        <w:rPr>
          <w:rFonts w:ascii="Times New Roman" w:hAnsi="Times New Roman" w:cs="Times New Roman"/>
          <w:i/>
          <w:iCs/>
          <w:sz w:val="18"/>
          <w:szCs w:val="18"/>
        </w:rPr>
        <w:t>Introduzione allo studio della storia moderna</w:t>
      </w:r>
      <w:r w:rsidR="0090222A" w:rsidRPr="00AF4B3D">
        <w:rPr>
          <w:rFonts w:ascii="Times New Roman" w:hAnsi="Times New Roman" w:cs="Times New Roman"/>
          <w:sz w:val="18"/>
          <w:szCs w:val="18"/>
        </w:rPr>
        <w:t>, Bologna, Il Mulino, 1999.</w:t>
      </w:r>
      <w:bookmarkStart w:id="0" w:name="_Hlk138412979"/>
      <w:r w:rsidRPr="00AF4B3D">
        <w:rPr>
          <w:rFonts w:ascii="Times New Roman" w:hAnsi="Times New Roman" w:cs="Times New Roman"/>
          <w:i/>
          <w:color w:val="0070C0"/>
          <w:sz w:val="18"/>
          <w:szCs w:val="18"/>
        </w:rPr>
        <w:t xml:space="preserve"> </w:t>
      </w:r>
    </w:p>
    <w:p w14:paraId="52CE1C40" w14:textId="4B8E7E14" w:rsidR="003721D7" w:rsidRPr="00AF4B3D" w:rsidRDefault="00AF4B3D" w:rsidP="00AF4B3D">
      <w:pPr>
        <w:rPr>
          <w:rFonts w:ascii="Times New Roman" w:hAnsi="Times New Roman" w:cs="Times New Roman"/>
          <w:i/>
          <w:color w:val="0070C0"/>
          <w:sz w:val="18"/>
          <w:szCs w:val="18"/>
        </w:rPr>
      </w:pPr>
      <w:r>
        <w:rPr>
          <w:rFonts w:ascii="Times New Roman" w:hAnsi="Times New Roman" w:cs="Times New Roman"/>
          <w:i/>
          <w:color w:val="0070C0"/>
          <w:sz w:val="18"/>
          <w:szCs w:val="18"/>
        </w:rPr>
        <w:t xml:space="preserve">         </w:t>
      </w:r>
      <w:hyperlink r:id="rId6" w:history="1">
        <w:r w:rsidRPr="00AF4B3D">
          <w:rPr>
            <w:rStyle w:val="Collegamentoipertestuale"/>
            <w:rFonts w:ascii="Times New Roman" w:hAnsi="Times New Roman" w:cs="Times New Roman"/>
            <w:i/>
            <w:sz w:val="18"/>
            <w:szCs w:val="18"/>
          </w:rPr>
          <w:t>Acquista da VP</w:t>
        </w:r>
        <w:bookmarkEnd w:id="0"/>
      </w:hyperlink>
    </w:p>
    <w:p w14:paraId="481E9E10" w14:textId="70B58FC2" w:rsidR="003721D7" w:rsidRPr="00AF4B3D" w:rsidRDefault="00AF4B3D" w:rsidP="00AF4B3D">
      <w:pPr>
        <w:rPr>
          <w:rFonts w:ascii="Times New Roman" w:hAnsi="Times New Roman" w:cs="Times New Roman"/>
          <w:i/>
          <w:color w:val="0070C0"/>
          <w:sz w:val="18"/>
          <w:szCs w:val="18"/>
        </w:rPr>
      </w:pPr>
      <w:r>
        <w:rPr>
          <w:rFonts w:ascii="Times New Roman" w:hAnsi="Times New Roman" w:cs="Times New Roman"/>
          <w:sz w:val="18"/>
          <w:szCs w:val="18"/>
        </w:rPr>
        <w:t xml:space="preserve">        </w:t>
      </w:r>
      <w:r w:rsidR="0090222A" w:rsidRPr="00AF4B3D">
        <w:rPr>
          <w:rFonts w:ascii="Times New Roman" w:hAnsi="Times New Roman" w:cs="Times New Roman"/>
          <w:sz w:val="18"/>
          <w:szCs w:val="18"/>
        </w:rPr>
        <w:t>•</w:t>
      </w:r>
      <w:r>
        <w:rPr>
          <w:rFonts w:ascii="Times New Roman" w:hAnsi="Times New Roman" w:cs="Times New Roman"/>
          <w:sz w:val="18"/>
          <w:szCs w:val="18"/>
        </w:rPr>
        <w:t xml:space="preserve"> </w:t>
      </w:r>
      <w:r w:rsidR="0090222A" w:rsidRPr="00AF4B3D">
        <w:rPr>
          <w:rFonts w:ascii="Times New Roman" w:hAnsi="Times New Roman" w:cs="Times New Roman"/>
          <w:sz w:val="18"/>
          <w:szCs w:val="18"/>
        </w:rPr>
        <w:t xml:space="preserve">F. Braudel, </w:t>
      </w:r>
      <w:r w:rsidR="0090222A" w:rsidRPr="00AF4B3D">
        <w:rPr>
          <w:rFonts w:ascii="Times New Roman" w:hAnsi="Times New Roman" w:cs="Times New Roman"/>
          <w:i/>
          <w:iCs/>
          <w:sz w:val="18"/>
          <w:szCs w:val="18"/>
        </w:rPr>
        <w:t>Storia misura del mondo</w:t>
      </w:r>
      <w:r w:rsidR="0090222A" w:rsidRPr="00AF4B3D">
        <w:rPr>
          <w:rFonts w:ascii="Times New Roman" w:hAnsi="Times New Roman" w:cs="Times New Roman"/>
          <w:sz w:val="18"/>
          <w:szCs w:val="18"/>
        </w:rPr>
        <w:t>, Il Mulino, Bologna 2002.</w:t>
      </w:r>
      <w:r w:rsidRPr="00AF4B3D">
        <w:rPr>
          <w:rFonts w:ascii="Times New Roman" w:hAnsi="Times New Roman" w:cs="Times New Roman"/>
          <w:i/>
          <w:color w:val="0070C0"/>
          <w:sz w:val="18"/>
          <w:szCs w:val="18"/>
        </w:rPr>
        <w:t xml:space="preserve"> </w:t>
      </w:r>
      <w:hyperlink r:id="rId7" w:history="1">
        <w:r w:rsidRPr="00AF4B3D">
          <w:rPr>
            <w:rStyle w:val="Collegamentoipertestuale"/>
            <w:rFonts w:ascii="Times New Roman" w:hAnsi="Times New Roman" w:cs="Times New Roman"/>
            <w:i/>
            <w:sz w:val="18"/>
            <w:szCs w:val="18"/>
          </w:rPr>
          <w:t>Acquista da VP</w:t>
        </w:r>
      </w:hyperlink>
    </w:p>
    <w:p w14:paraId="59A2AB58" w14:textId="77777777" w:rsidR="003721D7" w:rsidRPr="0090222A" w:rsidRDefault="0090222A" w:rsidP="0090222A">
      <w:pPr>
        <w:pStyle w:val="Standard"/>
        <w:ind w:left="426" w:hanging="426"/>
        <w:rPr>
          <w:rFonts w:hint="eastAsia"/>
          <w:sz w:val="18"/>
          <w:szCs w:val="18"/>
        </w:rPr>
      </w:pPr>
      <w:r w:rsidRPr="0090222A">
        <w:rPr>
          <w:sz w:val="18"/>
          <w:szCs w:val="18"/>
        </w:rPr>
        <w:t>Per il II modulo:</w:t>
      </w:r>
    </w:p>
    <w:p w14:paraId="50943F83" w14:textId="77777777" w:rsidR="003721D7" w:rsidRPr="0090222A" w:rsidRDefault="0090222A" w:rsidP="0090222A">
      <w:pPr>
        <w:pStyle w:val="Standard"/>
        <w:ind w:left="426" w:hanging="284"/>
        <w:rPr>
          <w:rFonts w:hint="eastAsia"/>
          <w:sz w:val="18"/>
          <w:szCs w:val="18"/>
        </w:rPr>
      </w:pPr>
      <w:r w:rsidRPr="0090222A">
        <w:rPr>
          <w:sz w:val="18"/>
          <w:szCs w:val="18"/>
        </w:rPr>
        <w:t>4.</w:t>
      </w:r>
      <w:r w:rsidRPr="0090222A">
        <w:rPr>
          <w:sz w:val="18"/>
          <w:szCs w:val="18"/>
        </w:rPr>
        <w:tab/>
        <w:t>Appunti delle lezioni.</w:t>
      </w:r>
    </w:p>
    <w:p w14:paraId="625557AF" w14:textId="5FD46034" w:rsidR="003721D7" w:rsidRPr="0090222A" w:rsidRDefault="0090222A" w:rsidP="0090222A">
      <w:pPr>
        <w:pStyle w:val="Standard"/>
        <w:ind w:left="426" w:hanging="284"/>
        <w:rPr>
          <w:rFonts w:hint="eastAsia"/>
          <w:sz w:val="18"/>
          <w:szCs w:val="18"/>
        </w:rPr>
      </w:pPr>
      <w:r w:rsidRPr="0090222A">
        <w:rPr>
          <w:sz w:val="18"/>
          <w:szCs w:val="18"/>
        </w:rPr>
        <w:t>5.</w:t>
      </w:r>
      <w:r w:rsidRPr="0090222A">
        <w:rPr>
          <w:sz w:val="18"/>
          <w:szCs w:val="18"/>
        </w:rPr>
        <w:tab/>
      </w:r>
      <w:r w:rsidRPr="0090222A">
        <w:rPr>
          <w:i/>
          <w:iCs/>
          <w:sz w:val="18"/>
          <w:szCs w:val="18"/>
        </w:rPr>
        <w:t xml:space="preserve">Libro dell’arte della guerra di Niccolò Machiavelli cittadino et </w:t>
      </w:r>
      <w:proofErr w:type="spellStart"/>
      <w:r w:rsidRPr="0090222A">
        <w:rPr>
          <w:i/>
          <w:iCs/>
          <w:sz w:val="18"/>
          <w:szCs w:val="18"/>
        </w:rPr>
        <w:t>secretario</w:t>
      </w:r>
      <w:proofErr w:type="spellEnd"/>
      <w:r w:rsidRPr="0090222A">
        <w:rPr>
          <w:i/>
          <w:iCs/>
          <w:sz w:val="18"/>
          <w:szCs w:val="18"/>
        </w:rPr>
        <w:t xml:space="preserve"> fiorentino</w:t>
      </w:r>
      <w:r w:rsidRPr="0090222A">
        <w:rPr>
          <w:sz w:val="18"/>
          <w:szCs w:val="18"/>
        </w:rPr>
        <w:t xml:space="preserve"> […], varie edizioni </w:t>
      </w:r>
      <w:r w:rsidRPr="0090222A">
        <w:rPr>
          <w:i/>
          <w:iCs/>
          <w:sz w:val="18"/>
          <w:szCs w:val="18"/>
        </w:rPr>
        <w:t>on line</w:t>
      </w:r>
      <w:r w:rsidRPr="0090222A">
        <w:rPr>
          <w:sz w:val="18"/>
          <w:szCs w:val="18"/>
        </w:rPr>
        <w:t>, tra le altre: [Venezia] Eredi di Aldo Manuzio, 1540.  (https://teca.bncf.firenze.sbn.it/ImageViewer/servlet/ImageViewer?idr=BNCF0000403593).</w:t>
      </w:r>
    </w:p>
    <w:p w14:paraId="614C2BFF" w14:textId="77777777" w:rsidR="00AF4B3D" w:rsidRDefault="00AF4B3D" w:rsidP="00AF4B3D">
      <w:pPr>
        <w:rPr>
          <w:sz w:val="18"/>
          <w:szCs w:val="18"/>
        </w:rPr>
      </w:pPr>
      <w:r>
        <w:rPr>
          <w:sz w:val="18"/>
          <w:szCs w:val="18"/>
        </w:rPr>
        <w:t xml:space="preserve">    </w:t>
      </w:r>
      <w:r w:rsidR="0090222A" w:rsidRPr="0090222A">
        <w:rPr>
          <w:sz w:val="18"/>
          <w:szCs w:val="18"/>
        </w:rPr>
        <w:t>6.</w:t>
      </w:r>
      <w:r>
        <w:rPr>
          <w:sz w:val="18"/>
          <w:szCs w:val="18"/>
        </w:rPr>
        <w:t xml:space="preserve">   </w:t>
      </w:r>
      <w:r w:rsidR="0090222A" w:rsidRPr="0090222A">
        <w:rPr>
          <w:sz w:val="18"/>
          <w:szCs w:val="18"/>
        </w:rPr>
        <w:t xml:space="preserve">Erasmo da Rotterdam, </w:t>
      </w:r>
      <w:r w:rsidR="0090222A" w:rsidRPr="0090222A">
        <w:rPr>
          <w:i/>
          <w:iCs/>
          <w:sz w:val="18"/>
          <w:szCs w:val="18"/>
        </w:rPr>
        <w:t>Adagi</w:t>
      </w:r>
      <w:r w:rsidR="0090222A" w:rsidRPr="0090222A">
        <w:rPr>
          <w:sz w:val="18"/>
          <w:szCs w:val="18"/>
        </w:rPr>
        <w:t xml:space="preserve">, testo latino a fronte, a c. di E. Lelli, Bompiani, Milano </w:t>
      </w:r>
      <w:r>
        <w:rPr>
          <w:sz w:val="18"/>
          <w:szCs w:val="18"/>
        </w:rPr>
        <w:t xml:space="preserve"> </w:t>
      </w:r>
    </w:p>
    <w:p w14:paraId="7F11BF45" w14:textId="6E22715F" w:rsidR="003721D7" w:rsidRPr="00AF4B3D" w:rsidRDefault="00AF4B3D" w:rsidP="00AF4B3D">
      <w:pPr>
        <w:rPr>
          <w:rFonts w:ascii="Times New Roman" w:hAnsi="Times New Roman" w:cs="Times New Roman" w:hint="eastAsia"/>
          <w:i/>
          <w:color w:val="0070C0"/>
          <w:sz w:val="18"/>
          <w:szCs w:val="18"/>
        </w:rPr>
      </w:pPr>
      <w:r>
        <w:rPr>
          <w:sz w:val="18"/>
          <w:szCs w:val="18"/>
        </w:rPr>
        <w:t xml:space="preserve">          </w:t>
      </w:r>
      <w:r w:rsidR="0090222A" w:rsidRPr="0090222A">
        <w:rPr>
          <w:sz w:val="18"/>
          <w:szCs w:val="18"/>
        </w:rPr>
        <w:t>2013. (ma anche altre edizioni, anche digitali, purché integrali).</w:t>
      </w:r>
      <w:r w:rsidRPr="00AF4B3D">
        <w:rPr>
          <w:rFonts w:ascii="Times New Roman" w:hAnsi="Times New Roman" w:cs="Times New Roman"/>
          <w:i/>
          <w:color w:val="0070C0"/>
          <w:sz w:val="18"/>
          <w:szCs w:val="18"/>
        </w:rPr>
        <w:t xml:space="preserve"> </w:t>
      </w:r>
      <w:hyperlink r:id="rId8" w:history="1">
        <w:r w:rsidRPr="00AF4B3D">
          <w:rPr>
            <w:rStyle w:val="Collegamentoipertestuale"/>
            <w:rFonts w:ascii="Times New Roman" w:hAnsi="Times New Roman" w:cs="Times New Roman"/>
            <w:i/>
            <w:sz w:val="18"/>
            <w:szCs w:val="18"/>
          </w:rPr>
          <w:t>Acquista da VP</w:t>
        </w:r>
      </w:hyperlink>
    </w:p>
    <w:p w14:paraId="66E3AD14" w14:textId="77777777" w:rsidR="003721D7" w:rsidRPr="0090222A" w:rsidRDefault="003721D7" w:rsidP="0090222A">
      <w:pPr>
        <w:pStyle w:val="Standard"/>
        <w:ind w:left="426" w:hanging="284"/>
        <w:rPr>
          <w:rFonts w:hint="eastAsia"/>
          <w:sz w:val="18"/>
          <w:szCs w:val="18"/>
        </w:rPr>
      </w:pPr>
    </w:p>
    <w:p w14:paraId="4773D193" w14:textId="77777777" w:rsidR="003721D7" w:rsidRPr="0090222A" w:rsidRDefault="0090222A" w:rsidP="0090222A">
      <w:pPr>
        <w:pStyle w:val="Standard"/>
        <w:ind w:left="426" w:hanging="426"/>
        <w:rPr>
          <w:rFonts w:hint="eastAsia"/>
          <w:sz w:val="18"/>
          <w:szCs w:val="18"/>
        </w:rPr>
      </w:pPr>
      <w:r w:rsidRPr="0090222A">
        <w:rPr>
          <w:sz w:val="18"/>
          <w:szCs w:val="18"/>
        </w:rPr>
        <w:t>Un volume a scelta tra i seguenti:</w:t>
      </w:r>
    </w:p>
    <w:p w14:paraId="40A636B4" w14:textId="77777777" w:rsidR="00AF4B3D" w:rsidRDefault="00AF4B3D" w:rsidP="00AF4B3D">
      <w:pPr>
        <w:rPr>
          <w:rFonts w:ascii="Times New Roman" w:hAnsi="Times New Roman" w:cs="Times New Roman"/>
          <w:sz w:val="18"/>
          <w:szCs w:val="18"/>
        </w:rPr>
      </w:pPr>
      <w:r w:rsidRPr="00AF4B3D">
        <w:rPr>
          <w:rFonts w:ascii="Times New Roman" w:hAnsi="Times New Roman" w:cs="Times New Roman"/>
          <w:sz w:val="18"/>
          <w:szCs w:val="18"/>
        </w:rPr>
        <w:t xml:space="preserve">   </w:t>
      </w:r>
      <w:r w:rsidR="0090222A" w:rsidRPr="00AF4B3D">
        <w:rPr>
          <w:rFonts w:ascii="Times New Roman" w:hAnsi="Times New Roman" w:cs="Times New Roman"/>
          <w:sz w:val="18"/>
          <w:szCs w:val="18"/>
        </w:rPr>
        <w:t>7</w:t>
      </w:r>
      <w:r w:rsidRPr="00AF4B3D">
        <w:rPr>
          <w:rFonts w:ascii="Times New Roman" w:hAnsi="Times New Roman" w:cs="Times New Roman"/>
          <w:sz w:val="18"/>
          <w:szCs w:val="18"/>
        </w:rPr>
        <w:t xml:space="preserve">     </w:t>
      </w:r>
      <w:r w:rsidR="0090222A" w:rsidRPr="00AF4B3D">
        <w:rPr>
          <w:rFonts w:ascii="Times New Roman" w:hAnsi="Times New Roman" w:cs="Times New Roman"/>
          <w:sz w:val="18"/>
          <w:szCs w:val="18"/>
        </w:rPr>
        <w:t xml:space="preserve">G. Parker, </w:t>
      </w:r>
      <w:r w:rsidR="0090222A" w:rsidRPr="00AF4B3D">
        <w:rPr>
          <w:rFonts w:ascii="Times New Roman" w:hAnsi="Times New Roman" w:cs="Times New Roman"/>
          <w:i/>
          <w:iCs/>
          <w:sz w:val="18"/>
          <w:szCs w:val="18"/>
        </w:rPr>
        <w:t>La rivoluzione militare: le innovazioni militari e il sorgere dell'Occidente</w:t>
      </w:r>
      <w:r w:rsidR="0090222A" w:rsidRPr="00AF4B3D">
        <w:rPr>
          <w:rFonts w:ascii="Times New Roman" w:hAnsi="Times New Roman" w:cs="Times New Roman"/>
          <w:sz w:val="18"/>
          <w:szCs w:val="18"/>
        </w:rPr>
        <w:t>,</w:t>
      </w:r>
    </w:p>
    <w:p w14:paraId="413BD12A" w14:textId="702BD0F9" w:rsidR="003721D7" w:rsidRPr="00AF4B3D" w:rsidRDefault="0090222A" w:rsidP="00AF4B3D">
      <w:pPr>
        <w:rPr>
          <w:rFonts w:ascii="Times New Roman" w:hAnsi="Times New Roman" w:cs="Times New Roman"/>
          <w:i/>
          <w:color w:val="0070C0"/>
          <w:sz w:val="18"/>
          <w:szCs w:val="18"/>
        </w:rPr>
      </w:pPr>
      <w:r w:rsidRPr="00AF4B3D">
        <w:rPr>
          <w:rFonts w:ascii="Times New Roman" w:hAnsi="Times New Roman" w:cs="Times New Roman"/>
          <w:sz w:val="18"/>
          <w:szCs w:val="18"/>
        </w:rPr>
        <w:t xml:space="preserve"> </w:t>
      </w:r>
      <w:r w:rsidR="00AF4B3D">
        <w:rPr>
          <w:rFonts w:ascii="Times New Roman" w:hAnsi="Times New Roman" w:cs="Times New Roman"/>
          <w:sz w:val="18"/>
          <w:szCs w:val="18"/>
        </w:rPr>
        <w:t xml:space="preserve">         </w:t>
      </w:r>
      <w:r w:rsidRPr="00AF4B3D">
        <w:rPr>
          <w:rFonts w:ascii="Times New Roman" w:hAnsi="Times New Roman" w:cs="Times New Roman"/>
          <w:sz w:val="18"/>
          <w:szCs w:val="18"/>
        </w:rPr>
        <w:t>Il mulino, Bologna 2005.</w:t>
      </w:r>
      <w:r w:rsidR="00AF4B3D" w:rsidRPr="00AF4B3D">
        <w:rPr>
          <w:rFonts w:ascii="Times New Roman" w:hAnsi="Times New Roman" w:cs="Times New Roman"/>
          <w:i/>
          <w:color w:val="0070C0"/>
          <w:sz w:val="18"/>
          <w:szCs w:val="18"/>
        </w:rPr>
        <w:t xml:space="preserve"> </w:t>
      </w:r>
      <w:hyperlink r:id="rId9" w:history="1">
        <w:r w:rsidR="00AF4B3D" w:rsidRPr="00AF4B3D">
          <w:rPr>
            <w:rStyle w:val="Collegamentoipertestuale"/>
            <w:rFonts w:ascii="Times New Roman" w:hAnsi="Times New Roman" w:cs="Times New Roman"/>
            <w:i/>
            <w:sz w:val="18"/>
            <w:szCs w:val="18"/>
          </w:rPr>
          <w:t>Acquista da VP</w:t>
        </w:r>
      </w:hyperlink>
    </w:p>
    <w:p w14:paraId="35BB9477" w14:textId="77777777" w:rsidR="00AF4B3D" w:rsidRDefault="00AF4B3D" w:rsidP="00AF4B3D">
      <w:pPr>
        <w:rPr>
          <w:sz w:val="18"/>
          <w:szCs w:val="18"/>
        </w:rPr>
      </w:pPr>
      <w:r>
        <w:rPr>
          <w:sz w:val="18"/>
          <w:szCs w:val="18"/>
        </w:rPr>
        <w:t xml:space="preserve">   </w:t>
      </w:r>
      <w:r w:rsidR="0090222A" w:rsidRPr="0090222A">
        <w:rPr>
          <w:sz w:val="18"/>
          <w:szCs w:val="18"/>
        </w:rPr>
        <w:t>8.</w:t>
      </w:r>
      <w:r>
        <w:rPr>
          <w:sz w:val="18"/>
          <w:szCs w:val="18"/>
        </w:rPr>
        <w:t xml:space="preserve">    </w:t>
      </w:r>
      <w:r w:rsidR="0090222A" w:rsidRPr="0090222A">
        <w:rPr>
          <w:i/>
          <w:iCs/>
          <w:sz w:val="18"/>
          <w:szCs w:val="18"/>
        </w:rPr>
        <w:t>Guerre ed eserciti nell'età moderna</w:t>
      </w:r>
      <w:r w:rsidR="0090222A" w:rsidRPr="0090222A">
        <w:rPr>
          <w:sz w:val="18"/>
          <w:szCs w:val="18"/>
        </w:rPr>
        <w:t>, a c. di P. Bianchi – P. Del Negro, Il Mulino,</w:t>
      </w:r>
    </w:p>
    <w:p w14:paraId="2ED40D27" w14:textId="01704AC7" w:rsidR="003721D7" w:rsidRPr="00AF4B3D" w:rsidRDefault="00AF4B3D" w:rsidP="00AF4B3D">
      <w:pPr>
        <w:rPr>
          <w:rFonts w:ascii="Times New Roman" w:hAnsi="Times New Roman" w:cs="Times New Roman" w:hint="eastAsia"/>
          <w:i/>
          <w:color w:val="0070C0"/>
          <w:sz w:val="18"/>
          <w:szCs w:val="18"/>
        </w:rPr>
      </w:pPr>
      <w:r>
        <w:rPr>
          <w:sz w:val="18"/>
          <w:szCs w:val="18"/>
        </w:rPr>
        <w:t xml:space="preserve">         </w:t>
      </w:r>
      <w:r w:rsidR="0090222A" w:rsidRPr="0090222A">
        <w:rPr>
          <w:sz w:val="18"/>
          <w:szCs w:val="18"/>
        </w:rPr>
        <w:t xml:space="preserve"> Bologna 2018;</w:t>
      </w:r>
      <w:r w:rsidRPr="00AF4B3D">
        <w:rPr>
          <w:rFonts w:ascii="Times New Roman" w:hAnsi="Times New Roman" w:cs="Times New Roman"/>
          <w:i/>
          <w:color w:val="0070C0"/>
          <w:sz w:val="18"/>
          <w:szCs w:val="18"/>
        </w:rPr>
        <w:t xml:space="preserve"> </w:t>
      </w:r>
      <w:hyperlink r:id="rId10" w:history="1">
        <w:r w:rsidRPr="00AF4B3D">
          <w:rPr>
            <w:rStyle w:val="Collegamentoipertestuale"/>
            <w:rFonts w:ascii="Times New Roman" w:hAnsi="Times New Roman" w:cs="Times New Roman"/>
            <w:i/>
            <w:sz w:val="18"/>
            <w:szCs w:val="18"/>
          </w:rPr>
          <w:t>Acquista da VP</w:t>
        </w:r>
      </w:hyperlink>
    </w:p>
    <w:p w14:paraId="192A621C" w14:textId="77777777" w:rsidR="00AF4B3D" w:rsidRDefault="00AF4B3D" w:rsidP="00AF4B3D">
      <w:pPr>
        <w:rPr>
          <w:sz w:val="18"/>
          <w:szCs w:val="18"/>
        </w:rPr>
      </w:pPr>
      <w:r>
        <w:rPr>
          <w:sz w:val="18"/>
          <w:szCs w:val="18"/>
        </w:rPr>
        <w:t xml:space="preserve">   </w:t>
      </w:r>
      <w:r w:rsidR="0090222A" w:rsidRPr="0090222A">
        <w:rPr>
          <w:sz w:val="18"/>
          <w:szCs w:val="18"/>
        </w:rPr>
        <w:t>9</w:t>
      </w:r>
      <w:r>
        <w:rPr>
          <w:sz w:val="18"/>
          <w:szCs w:val="18"/>
        </w:rPr>
        <w:t xml:space="preserve">     </w:t>
      </w:r>
      <w:r w:rsidR="0090222A" w:rsidRPr="0090222A">
        <w:rPr>
          <w:sz w:val="18"/>
          <w:szCs w:val="18"/>
        </w:rPr>
        <w:t xml:space="preserve">Piero Del Negro, Guerre ed eserciti nell'età moderna da Machiavelli a Napoleone, </w:t>
      </w:r>
    </w:p>
    <w:p w14:paraId="1809634B" w14:textId="4BF1769B" w:rsidR="003721D7" w:rsidRPr="00AF4B3D" w:rsidRDefault="00AF4B3D" w:rsidP="00AF4B3D">
      <w:pPr>
        <w:rPr>
          <w:rFonts w:ascii="Times New Roman" w:hAnsi="Times New Roman" w:cs="Times New Roman" w:hint="eastAsia"/>
          <w:i/>
          <w:color w:val="0070C0"/>
          <w:sz w:val="18"/>
          <w:szCs w:val="18"/>
        </w:rPr>
      </w:pPr>
      <w:r>
        <w:rPr>
          <w:sz w:val="18"/>
          <w:szCs w:val="18"/>
        </w:rPr>
        <w:t xml:space="preserve">          </w:t>
      </w:r>
      <w:r w:rsidR="0090222A" w:rsidRPr="0090222A">
        <w:rPr>
          <w:sz w:val="18"/>
          <w:szCs w:val="18"/>
        </w:rPr>
        <w:t>Laterza, Bari 2001.</w:t>
      </w:r>
      <w:r w:rsidRPr="00AF4B3D">
        <w:rPr>
          <w:rFonts w:ascii="Times New Roman" w:hAnsi="Times New Roman" w:cs="Times New Roman"/>
          <w:i/>
          <w:color w:val="0070C0"/>
          <w:sz w:val="18"/>
          <w:szCs w:val="18"/>
        </w:rPr>
        <w:t xml:space="preserve"> </w:t>
      </w:r>
      <w:bookmarkStart w:id="1" w:name="_GoBack"/>
      <w:bookmarkEnd w:id="1"/>
    </w:p>
    <w:p w14:paraId="3B32EAB8" w14:textId="6A2C899D" w:rsidR="003721D7" w:rsidRPr="0090222A" w:rsidRDefault="0090222A" w:rsidP="0090222A">
      <w:pPr>
        <w:pStyle w:val="Standard"/>
        <w:ind w:left="426" w:hanging="284"/>
        <w:jc w:val="both"/>
        <w:rPr>
          <w:rFonts w:hint="eastAsia"/>
          <w:sz w:val="18"/>
          <w:szCs w:val="18"/>
        </w:rPr>
      </w:pPr>
      <w:r w:rsidRPr="0090222A">
        <w:rPr>
          <w:sz w:val="18"/>
          <w:szCs w:val="18"/>
        </w:rPr>
        <w:t>9.</w:t>
      </w:r>
      <w:r w:rsidRPr="0090222A">
        <w:rPr>
          <w:sz w:val="18"/>
          <w:szCs w:val="18"/>
        </w:rPr>
        <w:tab/>
        <w:t>La bibliografia specialistica sarà completata da una scelta di letture, che verranno presentate e commentate in aula, nel corso delle lezioni.</w:t>
      </w:r>
    </w:p>
    <w:p w14:paraId="20E79DC2" w14:textId="1F121780"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t>DIDATTICA DEL CORSO</w:t>
      </w:r>
    </w:p>
    <w:p w14:paraId="709BD252" w14:textId="77777777" w:rsidR="003721D7" w:rsidRPr="0090222A" w:rsidRDefault="0090222A">
      <w:pPr>
        <w:pStyle w:val="Standard"/>
        <w:rPr>
          <w:rFonts w:hint="eastAsia"/>
          <w:sz w:val="18"/>
          <w:szCs w:val="18"/>
        </w:rPr>
      </w:pPr>
      <w:r w:rsidRPr="0090222A">
        <w:rPr>
          <w:sz w:val="18"/>
          <w:szCs w:val="18"/>
        </w:rPr>
        <w:t>Il corso si svolgerà con lezioni frontali in aula e seminari di approfondimento.</w:t>
      </w:r>
    </w:p>
    <w:p w14:paraId="5660CB9B" w14:textId="2306DD8D"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t>METODO E CRITERI DI VALUTAZIONE</w:t>
      </w:r>
    </w:p>
    <w:p w14:paraId="5A6FDF5C" w14:textId="77777777" w:rsidR="003721D7" w:rsidRPr="0090222A" w:rsidRDefault="0090222A" w:rsidP="0090222A">
      <w:pPr>
        <w:pStyle w:val="Standard"/>
        <w:ind w:firstLine="284"/>
        <w:jc w:val="both"/>
        <w:rPr>
          <w:rFonts w:hint="eastAsia"/>
          <w:sz w:val="18"/>
          <w:szCs w:val="18"/>
        </w:rPr>
      </w:pPr>
      <w:r w:rsidRPr="0090222A">
        <w:rPr>
          <w:sz w:val="18"/>
          <w:szCs w:val="18"/>
        </w:rPr>
        <w:t>Si prevedono esami orali al termine del corso.</w:t>
      </w:r>
    </w:p>
    <w:p w14:paraId="10D8B566" w14:textId="77777777" w:rsidR="003721D7" w:rsidRPr="0090222A" w:rsidRDefault="0090222A" w:rsidP="0090222A">
      <w:pPr>
        <w:pStyle w:val="Standard"/>
        <w:ind w:firstLine="284"/>
        <w:jc w:val="both"/>
        <w:rPr>
          <w:rFonts w:hint="eastAsia"/>
          <w:sz w:val="18"/>
          <w:szCs w:val="18"/>
        </w:rPr>
      </w:pPr>
      <w:r w:rsidRPr="0090222A">
        <w:rPr>
          <w:sz w:val="18"/>
          <w:szCs w:val="18"/>
        </w:rPr>
        <w:t>Per superare l’esame, il candidato è tenuto a dimostrare una buona e approfondita conoscenza della storia moderna dall’età del Rinascimento fino al 1815. Lo studente è esaminato in un primo colloquio generale sulle linee di fondo della storia moderna, negli ambiti geopolitico-istituzionale, socio-economico, religioso-culturale relativi al modulo I. Superato il colloquio, completa l’esame discutendo dei temi presentati durante il corso monografico (modulo II).</w:t>
      </w:r>
    </w:p>
    <w:p w14:paraId="64B3CFE3" w14:textId="77777777" w:rsidR="003721D7" w:rsidRPr="0090222A" w:rsidRDefault="0090222A" w:rsidP="0090222A">
      <w:pPr>
        <w:pStyle w:val="Standard"/>
        <w:ind w:firstLine="284"/>
        <w:jc w:val="both"/>
        <w:rPr>
          <w:rFonts w:hint="eastAsia"/>
          <w:sz w:val="18"/>
          <w:szCs w:val="18"/>
        </w:rPr>
      </w:pPr>
      <w:r w:rsidRPr="0090222A">
        <w:rPr>
          <w:sz w:val="18"/>
          <w:szCs w:val="18"/>
        </w:rPr>
        <w:t>La valutazione sarà espressa in trentesimi (voto sufficiente minimo 18/30; voto massimo 30/30). In caso di prova completa, esaustiva e condotta con appropriatezza, verrà attribuita la distinzione della lode.</w:t>
      </w:r>
    </w:p>
    <w:p w14:paraId="33BD1BDE" w14:textId="08E3C40D" w:rsidR="003721D7" w:rsidRPr="0090222A" w:rsidRDefault="0090222A" w:rsidP="0090222A">
      <w:pPr>
        <w:pStyle w:val="Standard"/>
        <w:spacing w:before="240" w:after="120"/>
        <w:rPr>
          <w:rFonts w:hint="eastAsia"/>
          <w:b/>
          <w:bCs/>
          <w:i/>
          <w:iCs/>
          <w:sz w:val="18"/>
          <w:szCs w:val="18"/>
        </w:rPr>
      </w:pPr>
      <w:r w:rsidRPr="0090222A">
        <w:rPr>
          <w:rFonts w:hint="eastAsia"/>
          <w:b/>
          <w:bCs/>
          <w:i/>
          <w:iCs/>
          <w:sz w:val="18"/>
          <w:szCs w:val="18"/>
        </w:rPr>
        <w:lastRenderedPageBreak/>
        <w:t>AVVERTENZE E PREREQUISITI</w:t>
      </w:r>
    </w:p>
    <w:p w14:paraId="78E2F0EE" w14:textId="77777777" w:rsidR="003721D7" w:rsidRPr="0090222A" w:rsidRDefault="0090222A" w:rsidP="0090222A">
      <w:pPr>
        <w:pStyle w:val="Standard"/>
        <w:ind w:firstLine="284"/>
        <w:rPr>
          <w:rFonts w:hint="eastAsia"/>
          <w:sz w:val="18"/>
          <w:szCs w:val="18"/>
        </w:rPr>
      </w:pPr>
      <w:r w:rsidRPr="0090222A">
        <w:rPr>
          <w:sz w:val="18"/>
          <w:szCs w:val="18"/>
        </w:rPr>
        <w:t>Gli studenti che nel piano degli studi avranno inserito l’insegnamento di Storia della storiografia moderna saranno esonerati dal presentare all’esame i testi del punto n. 3 del I modulo del corso.</w:t>
      </w:r>
    </w:p>
    <w:p w14:paraId="3541E022" w14:textId="77777777" w:rsidR="003721D7" w:rsidRPr="0090222A" w:rsidRDefault="003721D7" w:rsidP="0090222A">
      <w:pPr>
        <w:pStyle w:val="Standard"/>
        <w:ind w:firstLine="284"/>
        <w:rPr>
          <w:rFonts w:hint="eastAsia"/>
          <w:sz w:val="18"/>
          <w:szCs w:val="18"/>
        </w:rPr>
      </w:pPr>
    </w:p>
    <w:p w14:paraId="3B4053FD" w14:textId="77777777" w:rsidR="003721D7" w:rsidRPr="0090222A" w:rsidRDefault="0090222A" w:rsidP="0090222A">
      <w:pPr>
        <w:pStyle w:val="Standard"/>
        <w:ind w:firstLine="284"/>
        <w:rPr>
          <w:rFonts w:hint="eastAsia"/>
          <w:i/>
          <w:iCs/>
          <w:sz w:val="18"/>
          <w:szCs w:val="18"/>
        </w:rPr>
      </w:pPr>
      <w:r w:rsidRPr="0090222A">
        <w:rPr>
          <w:i/>
          <w:iCs/>
          <w:sz w:val="18"/>
          <w:szCs w:val="18"/>
        </w:rPr>
        <w:t>Orario e luogo di ricevimento degli studenti</w:t>
      </w:r>
    </w:p>
    <w:p w14:paraId="2DE2F05F" w14:textId="77777777" w:rsidR="003721D7" w:rsidRPr="0090222A" w:rsidRDefault="0090222A" w:rsidP="0090222A">
      <w:pPr>
        <w:pStyle w:val="Standard"/>
        <w:ind w:firstLine="284"/>
        <w:rPr>
          <w:rFonts w:hint="eastAsia"/>
          <w:sz w:val="18"/>
          <w:szCs w:val="18"/>
        </w:rPr>
      </w:pPr>
      <w:r w:rsidRPr="0090222A">
        <w:rPr>
          <w:sz w:val="18"/>
          <w:szCs w:val="18"/>
        </w:rPr>
        <w:t>Durante i periodi di lezione, il Prof. Angelo Bianchi riceve gli studenti presso la Presidenza della Facoltà di Lettere e Filosofia, martedì dalle ore 15,30 alle ore 16,30.</w:t>
      </w:r>
    </w:p>
    <w:p w14:paraId="762C2FB8" w14:textId="77777777" w:rsidR="003721D7" w:rsidRPr="0090222A" w:rsidRDefault="0090222A" w:rsidP="0090222A">
      <w:pPr>
        <w:pStyle w:val="Standard"/>
        <w:ind w:firstLine="284"/>
        <w:rPr>
          <w:rFonts w:hint="eastAsia"/>
          <w:sz w:val="18"/>
          <w:szCs w:val="18"/>
        </w:rPr>
      </w:pPr>
      <w:r w:rsidRPr="0090222A">
        <w:rPr>
          <w:sz w:val="18"/>
          <w:szCs w:val="18"/>
        </w:rPr>
        <w:t>È sempre consigliabile prendere appuntamento al seguente indirizzo e-mail: angelo.bianchi@unicatt.it.</w:t>
      </w:r>
    </w:p>
    <w:p w14:paraId="182FA36D" w14:textId="77777777" w:rsidR="003721D7" w:rsidRPr="0090222A" w:rsidRDefault="003721D7">
      <w:pPr>
        <w:pStyle w:val="Standard"/>
        <w:rPr>
          <w:rFonts w:hint="eastAsia"/>
          <w:sz w:val="18"/>
          <w:szCs w:val="18"/>
        </w:rPr>
      </w:pPr>
    </w:p>
    <w:p w14:paraId="769D508E" w14:textId="77777777" w:rsidR="003721D7" w:rsidRPr="0090222A" w:rsidRDefault="003721D7">
      <w:pPr>
        <w:pStyle w:val="Standard"/>
        <w:rPr>
          <w:rFonts w:hint="eastAsia"/>
          <w:sz w:val="18"/>
          <w:szCs w:val="18"/>
        </w:rPr>
      </w:pPr>
    </w:p>
    <w:p w14:paraId="0C284E20" w14:textId="77777777" w:rsidR="003721D7" w:rsidRPr="0090222A" w:rsidRDefault="003721D7">
      <w:pPr>
        <w:pStyle w:val="Standard"/>
        <w:rPr>
          <w:rFonts w:hint="eastAsia"/>
          <w:sz w:val="18"/>
          <w:szCs w:val="18"/>
        </w:rPr>
      </w:pPr>
    </w:p>
    <w:p w14:paraId="0149E2E4" w14:textId="77777777" w:rsidR="003721D7" w:rsidRPr="0090222A" w:rsidRDefault="003721D7">
      <w:pPr>
        <w:pStyle w:val="Standard"/>
        <w:rPr>
          <w:rFonts w:hint="eastAsia"/>
          <w:sz w:val="18"/>
          <w:szCs w:val="18"/>
        </w:rPr>
      </w:pPr>
    </w:p>
    <w:p w14:paraId="0A920053" w14:textId="77777777" w:rsidR="003721D7" w:rsidRPr="0090222A" w:rsidRDefault="003721D7">
      <w:pPr>
        <w:pStyle w:val="Standard"/>
        <w:rPr>
          <w:rFonts w:hint="eastAsia"/>
          <w:sz w:val="18"/>
          <w:szCs w:val="18"/>
        </w:rPr>
      </w:pPr>
    </w:p>
    <w:p w14:paraId="1E232C2C" w14:textId="77777777" w:rsidR="003721D7" w:rsidRPr="0090222A" w:rsidRDefault="003721D7">
      <w:pPr>
        <w:pStyle w:val="Standard"/>
        <w:rPr>
          <w:rFonts w:hint="eastAsia"/>
          <w:sz w:val="18"/>
          <w:szCs w:val="18"/>
        </w:rPr>
      </w:pPr>
    </w:p>
    <w:sectPr w:rsidR="003721D7" w:rsidRPr="0090222A" w:rsidSect="0090222A">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507B" w14:textId="77777777" w:rsidR="00DA4906" w:rsidRDefault="0090222A">
      <w:pPr>
        <w:rPr>
          <w:rFonts w:hint="eastAsia"/>
        </w:rPr>
      </w:pPr>
      <w:r>
        <w:separator/>
      </w:r>
    </w:p>
  </w:endnote>
  <w:endnote w:type="continuationSeparator" w:id="0">
    <w:p w14:paraId="018D6D3F" w14:textId="77777777" w:rsidR="00DA4906" w:rsidRDefault="009022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65EB" w14:textId="77777777" w:rsidR="00DA4906" w:rsidRDefault="0090222A">
      <w:pPr>
        <w:rPr>
          <w:rFonts w:hint="eastAsia"/>
        </w:rPr>
      </w:pPr>
      <w:r>
        <w:rPr>
          <w:color w:val="000000"/>
        </w:rPr>
        <w:separator/>
      </w:r>
    </w:p>
  </w:footnote>
  <w:footnote w:type="continuationSeparator" w:id="0">
    <w:p w14:paraId="6199EB1D" w14:textId="77777777" w:rsidR="00DA4906" w:rsidRDefault="0090222A">
      <w:pPr>
        <w:rPr>
          <w:rFonts w:hint="eastAsia"/>
        </w:rPr>
      </w:pPr>
      <w:r>
        <w:continuationSeparator/>
      </w:r>
    </w:p>
  </w:footnote>
  <w:footnote w:id="1">
    <w:p w14:paraId="2C440A27" w14:textId="2676EBEA" w:rsidR="00AF4B3D" w:rsidRDefault="00AF4B3D">
      <w:pPr>
        <w:pStyle w:val="Testonotaapidipagina"/>
      </w:pPr>
      <w:r>
        <w:rPr>
          <w:rStyle w:val="Rimandonotaapidipagina"/>
          <w:rFonts w:hint="eastAsia"/>
        </w:rPr>
        <w:footnoteRef/>
      </w:r>
      <w:r>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D7"/>
    <w:rsid w:val="003721D7"/>
    <w:rsid w:val="005E4CA7"/>
    <w:rsid w:val="0090222A"/>
    <w:rsid w:val="00AF4B3D"/>
    <w:rsid w:val="00DA4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048"/>
  <w15:docId w15:val="{C5FFCFAC-D50B-49C9-AE1E-A16DA8F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notaapidipagina">
    <w:name w:val="footnote text"/>
    <w:basedOn w:val="Normale"/>
    <w:link w:val="TestonotaapidipaginaCarattere"/>
    <w:uiPriority w:val="99"/>
    <w:semiHidden/>
    <w:unhideWhenUsed/>
    <w:rsid w:val="00AF4B3D"/>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AF4B3D"/>
    <w:rPr>
      <w:rFonts w:cs="Mangal"/>
      <w:sz w:val="20"/>
      <w:szCs w:val="18"/>
    </w:rPr>
  </w:style>
  <w:style w:type="character" w:styleId="Rimandonotaapidipagina">
    <w:name w:val="footnote reference"/>
    <w:basedOn w:val="Carpredefinitoparagrafo"/>
    <w:uiPriority w:val="99"/>
    <w:semiHidden/>
    <w:unhideWhenUsed/>
    <w:rsid w:val="00AF4B3D"/>
    <w:rPr>
      <w:vertAlign w:val="superscript"/>
    </w:rPr>
  </w:style>
  <w:style w:type="character" w:styleId="Collegamentoipertestuale">
    <w:name w:val="Hyperlink"/>
    <w:basedOn w:val="Carpredefinitoparagrafo"/>
    <w:uiPriority w:val="99"/>
    <w:unhideWhenUsed/>
    <w:rsid w:val="00AF4B3D"/>
    <w:rPr>
      <w:color w:val="0563C1" w:themeColor="hyperlink"/>
      <w:u w:val="single"/>
    </w:rPr>
  </w:style>
  <w:style w:type="character" w:styleId="Menzionenonrisolta">
    <w:name w:val="Unresolved Mention"/>
    <w:basedOn w:val="Carpredefinitoparagrafo"/>
    <w:uiPriority w:val="99"/>
    <w:semiHidden/>
    <w:unhideWhenUsed/>
    <w:rsid w:val="00AF4B3D"/>
    <w:rPr>
      <w:color w:val="605E5C"/>
      <w:shd w:val="clear" w:color="auto" w:fill="E1DFDD"/>
    </w:rPr>
  </w:style>
  <w:style w:type="character" w:styleId="Rimandocommento">
    <w:name w:val="annotation reference"/>
    <w:basedOn w:val="Carpredefinitoparagrafo"/>
    <w:uiPriority w:val="99"/>
    <w:semiHidden/>
    <w:unhideWhenUsed/>
    <w:rsid w:val="00AF4B3D"/>
    <w:rPr>
      <w:sz w:val="16"/>
      <w:szCs w:val="16"/>
    </w:rPr>
  </w:style>
  <w:style w:type="paragraph" w:styleId="Testocommento">
    <w:name w:val="annotation text"/>
    <w:basedOn w:val="Normale"/>
    <w:link w:val="TestocommentoCarattere"/>
    <w:uiPriority w:val="99"/>
    <w:semiHidden/>
    <w:unhideWhenUsed/>
    <w:rsid w:val="00AF4B3D"/>
    <w:rPr>
      <w:rFonts w:cs="Mangal"/>
      <w:sz w:val="20"/>
      <w:szCs w:val="18"/>
    </w:rPr>
  </w:style>
  <w:style w:type="character" w:customStyle="1" w:styleId="TestocommentoCarattere">
    <w:name w:val="Testo commento Carattere"/>
    <w:basedOn w:val="Carpredefinitoparagrafo"/>
    <w:link w:val="Testocommento"/>
    <w:uiPriority w:val="99"/>
    <w:semiHidden/>
    <w:rsid w:val="00AF4B3D"/>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AF4B3D"/>
    <w:rPr>
      <w:b/>
      <w:bCs/>
    </w:rPr>
  </w:style>
  <w:style w:type="character" w:customStyle="1" w:styleId="SoggettocommentoCarattere">
    <w:name w:val="Soggetto commento Carattere"/>
    <w:basedOn w:val="TestocommentoCarattere"/>
    <w:link w:val="Soggettocommento"/>
    <w:uiPriority w:val="99"/>
    <w:semiHidden/>
    <w:rsid w:val="00AF4B3D"/>
    <w:rPr>
      <w:rFonts w:cs="Mangal"/>
      <w:b/>
      <w:bCs/>
      <w:sz w:val="20"/>
      <w:szCs w:val="18"/>
    </w:rPr>
  </w:style>
  <w:style w:type="paragraph" w:styleId="Testofumetto">
    <w:name w:val="Balloon Text"/>
    <w:basedOn w:val="Normale"/>
    <w:link w:val="TestofumettoCarattere"/>
    <w:uiPriority w:val="99"/>
    <w:semiHidden/>
    <w:unhideWhenUsed/>
    <w:rsid w:val="00AF4B3D"/>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F4B3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adagi-testo-latino-a-fronte-9788845274510-186957.html" TargetMode="External"/><Relationship Id="rId3" Type="http://schemas.openxmlformats.org/officeDocument/2006/relationships/webSettings" Target="webSettings.xml"/><Relationship Id="rId7" Type="http://schemas.openxmlformats.org/officeDocument/2006/relationships/hyperlink" Target="https://librerie.unicatt.it/scheda-libro/fernand-braudel/storia-misura-del-mondo-9788815259486-22999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prodi-paolo/introduzione-allo-studio-della-storia-moderna-9788815070913-208223.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ibrerie.unicatt.it/scheda-libro/autori-vari/guerre-ed-eserciti-nelleta-moderna-9788815279576-553544.html" TargetMode="External"/><Relationship Id="rId4" Type="http://schemas.openxmlformats.org/officeDocument/2006/relationships/footnotes" Target="footnotes.xml"/><Relationship Id="rId9" Type="http://schemas.openxmlformats.org/officeDocument/2006/relationships/hyperlink" Target="https://librerie.unicatt.it/scheda-libro/geoffrey-parker/la-rivoluzione-militare-9788815252975-2155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Locci Amedeo</cp:lastModifiedBy>
  <cp:revision>3</cp:revision>
  <dcterms:created xsi:type="dcterms:W3CDTF">2023-05-12T07:42:00Z</dcterms:created>
  <dcterms:modified xsi:type="dcterms:W3CDTF">2023-06-29T11:40:00Z</dcterms:modified>
</cp:coreProperties>
</file>