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476C" w14:textId="03BA2B05" w:rsidR="007D0A22" w:rsidRPr="008A0BFF" w:rsidRDefault="007D0A22" w:rsidP="008A0BFF">
      <w:pPr>
        <w:pStyle w:val="Titolo1"/>
      </w:pPr>
      <w:r w:rsidRPr="008A0BFF">
        <w:t>Cultura e civiltà d’Europa</w:t>
      </w:r>
    </w:p>
    <w:p w14:paraId="1513C4CA" w14:textId="109B8BF7" w:rsidR="007D0A22" w:rsidRPr="008A0BFF" w:rsidRDefault="008A0BFF" w:rsidP="008A0BFF">
      <w:pPr>
        <w:pStyle w:val="Titolo2"/>
      </w:pPr>
      <w:r w:rsidRPr="008A0BFF">
        <w:t>P</w:t>
      </w:r>
      <w:r w:rsidR="003B2008" w:rsidRPr="008A0BFF">
        <w:t>rof</w:t>
      </w:r>
      <w:r w:rsidR="007D0A22" w:rsidRPr="008A0BFF">
        <w:t>. Luca Montecchi</w:t>
      </w:r>
    </w:p>
    <w:p w14:paraId="327148F5" w14:textId="77777777" w:rsidR="007D0A22" w:rsidRPr="008A0BFF" w:rsidRDefault="007D0A22" w:rsidP="007D0A22">
      <w:pPr>
        <w:spacing w:before="240" w:after="120" w:line="276" w:lineRule="auto"/>
        <w:ind w:right="27"/>
        <w:rPr>
          <w:rFonts w:ascii="Times New Roman" w:hAnsi="Times New Roman" w:cs="Times New Roman"/>
          <w:b/>
          <w:i/>
          <w:sz w:val="18"/>
          <w:szCs w:val="18"/>
        </w:rPr>
      </w:pPr>
      <w:r w:rsidRPr="008A0BFF">
        <w:rPr>
          <w:rFonts w:ascii="Times New Roman" w:hAnsi="Times New Roman" w:cs="Times New Roman"/>
          <w:b/>
          <w:i/>
          <w:sz w:val="18"/>
          <w:szCs w:val="18"/>
        </w:rPr>
        <w:t>OBIETTIVO DEL CORSO E RISULTATI DI APPRENDIMENTO ATTESI</w:t>
      </w:r>
    </w:p>
    <w:p w14:paraId="3F08B519" w14:textId="75F14AD5" w:rsidR="007D0A22" w:rsidRPr="00BE1D17" w:rsidRDefault="007D0A22" w:rsidP="007D0A22">
      <w:pPr>
        <w:spacing w:line="276" w:lineRule="auto"/>
        <w:ind w:right="27"/>
        <w:rPr>
          <w:rFonts w:ascii="Times New Roman" w:hAnsi="Times New Roman" w:cs="Times New Roman"/>
          <w:szCs w:val="20"/>
        </w:rPr>
      </w:pPr>
      <w:r w:rsidRPr="00BE1D17">
        <w:rPr>
          <w:rFonts w:ascii="Times New Roman" w:hAnsi="Times New Roman" w:cs="Times New Roman"/>
          <w:szCs w:val="20"/>
        </w:rPr>
        <w:t xml:space="preserve">Il corso si propone di descrivere e documentare idee – specie quella di </w:t>
      </w:r>
      <w:r w:rsidRPr="00BE1D17">
        <w:rPr>
          <w:rFonts w:ascii="Times New Roman" w:hAnsi="Times New Roman" w:cs="Times New Roman"/>
          <w:i/>
          <w:iCs/>
          <w:szCs w:val="20"/>
        </w:rPr>
        <w:t>virtù</w:t>
      </w:r>
      <w:r w:rsidRPr="00BE1D17">
        <w:rPr>
          <w:rFonts w:ascii="Times New Roman" w:hAnsi="Times New Roman" w:cs="Times New Roman"/>
          <w:szCs w:val="20"/>
        </w:rPr>
        <w:t xml:space="preserve"> – che hanno plasmato la coscienza e la mentalità degli uomini dell’Europa.</w:t>
      </w:r>
    </w:p>
    <w:p w14:paraId="4C184E9B" w14:textId="77777777" w:rsidR="007D0A22" w:rsidRPr="00BE1D17" w:rsidRDefault="007D0A22" w:rsidP="007D0A22">
      <w:pPr>
        <w:spacing w:line="276" w:lineRule="auto"/>
        <w:ind w:right="27"/>
        <w:rPr>
          <w:rFonts w:ascii="Times New Roman" w:hAnsi="Times New Roman" w:cs="Times New Roman"/>
          <w:szCs w:val="20"/>
        </w:rPr>
      </w:pPr>
      <w:r w:rsidRPr="00BE1D17">
        <w:rPr>
          <w:rFonts w:ascii="Times New Roman" w:hAnsi="Times New Roman" w:cs="Times New Roman"/>
          <w:szCs w:val="20"/>
        </w:rPr>
        <w:t xml:space="preserve">S’inquadrerà anzitutto il tema dei fondamenti ontologici del </w:t>
      </w:r>
      <w:r w:rsidRPr="00BE1D17">
        <w:rPr>
          <w:rFonts w:ascii="Times New Roman" w:hAnsi="Times New Roman" w:cs="Times New Roman"/>
          <w:i/>
          <w:iCs/>
          <w:szCs w:val="20"/>
        </w:rPr>
        <w:t>logos</w:t>
      </w:r>
      <w:r w:rsidRPr="00BE1D17">
        <w:rPr>
          <w:rFonts w:ascii="Times New Roman" w:hAnsi="Times New Roman" w:cs="Times New Roman"/>
          <w:szCs w:val="20"/>
        </w:rPr>
        <w:t xml:space="preserve"> della prassi da Socrate all’Aristotele dell’</w:t>
      </w:r>
      <w:r w:rsidRPr="00BE1D17">
        <w:rPr>
          <w:rFonts w:ascii="Times New Roman" w:hAnsi="Times New Roman" w:cs="Times New Roman"/>
          <w:i/>
          <w:iCs/>
          <w:szCs w:val="20"/>
        </w:rPr>
        <w:t>Etica Nicomachea</w:t>
      </w:r>
      <w:r w:rsidRPr="00BE1D17">
        <w:rPr>
          <w:rFonts w:ascii="Times New Roman" w:hAnsi="Times New Roman" w:cs="Times New Roman"/>
          <w:szCs w:val="20"/>
        </w:rPr>
        <w:t xml:space="preserve">, e congruo spazio sarà riservato alla riflessione medievale in Tommaso d’Aquino e in pensatori francescani, specie alla luce della </w:t>
      </w:r>
      <w:r w:rsidRPr="00BE1D17">
        <w:rPr>
          <w:rFonts w:ascii="Times New Roman" w:hAnsi="Times New Roman" w:cs="Times New Roman"/>
          <w:i/>
          <w:iCs/>
          <w:szCs w:val="20"/>
        </w:rPr>
        <w:t>Commedia</w:t>
      </w:r>
      <w:r w:rsidRPr="00BE1D17">
        <w:rPr>
          <w:rFonts w:ascii="Times New Roman" w:hAnsi="Times New Roman" w:cs="Times New Roman"/>
          <w:szCs w:val="20"/>
        </w:rPr>
        <w:t xml:space="preserve"> dantesca. Tale linea di sviluppo classica ed ebraico-cristiana sarà poi messa a paragone, da un verso, con la veduta legalistica dell’Islàm e, dall’altro, con la svolta protestante, razionalistica e idealistica, in una chiave di lettura anche retrospettiva a partire da autori – filosofi e letterati – dell’Otto e Novecento che in epoca moderna e post-moderna riflettono sulla virtù e la “vita buona”.</w:t>
      </w:r>
    </w:p>
    <w:p w14:paraId="36E1EDAE" w14:textId="77777777" w:rsidR="007D0A22" w:rsidRPr="00BE1D17" w:rsidRDefault="007D0A22" w:rsidP="007D0A22">
      <w:pPr>
        <w:pStyle w:val="Paragrafoelenco"/>
        <w:numPr>
          <w:ilvl w:val="0"/>
          <w:numId w:val="1"/>
        </w:numPr>
        <w:spacing w:line="276" w:lineRule="auto"/>
        <w:ind w:right="27"/>
        <w:rPr>
          <w:szCs w:val="20"/>
        </w:rPr>
      </w:pPr>
      <w:r w:rsidRPr="00BE1D17">
        <w:rPr>
          <w:i/>
          <w:iCs/>
          <w:szCs w:val="20"/>
        </w:rPr>
        <w:t>Conoscenza e comprensione</w:t>
      </w:r>
    </w:p>
    <w:p w14:paraId="14680E98" w14:textId="77777777" w:rsidR="007D0A22" w:rsidRPr="00BE1D17" w:rsidRDefault="007D0A22" w:rsidP="007D0A22">
      <w:pPr>
        <w:pStyle w:val="Paragrafoelenco"/>
        <w:spacing w:after="120" w:line="276" w:lineRule="auto"/>
        <w:ind w:right="27"/>
        <w:rPr>
          <w:szCs w:val="20"/>
        </w:rPr>
      </w:pPr>
      <w:r w:rsidRPr="00BE1D17">
        <w:rPr>
          <w:szCs w:val="20"/>
        </w:rPr>
        <w:t>Al termine del corso, gli studenti avranno acquisito una certa cognizione delle categorie e dei termini che definiscono e descrivono l’agire morale, sapendo fornirne le premesse e gli sviluppi (psico-)logici lungo la traiettoria del pensiero occidentale. Gli studenti saranno anche in grado di guardare al costume sociale italiano e internazionale contemporaneo con occhio più avvertito ed esercitato su una visione di lungo periodo.</w:t>
      </w:r>
    </w:p>
    <w:p w14:paraId="08070D9F" w14:textId="77777777" w:rsidR="007D0A22" w:rsidRPr="00BE1D17" w:rsidRDefault="007D0A22" w:rsidP="007D0A22">
      <w:pPr>
        <w:pStyle w:val="Paragrafoelenco"/>
        <w:numPr>
          <w:ilvl w:val="0"/>
          <w:numId w:val="1"/>
        </w:numPr>
        <w:spacing w:before="120" w:after="120" w:line="276" w:lineRule="auto"/>
        <w:ind w:left="714" w:right="27" w:hanging="357"/>
        <w:rPr>
          <w:szCs w:val="20"/>
        </w:rPr>
      </w:pPr>
      <w:r w:rsidRPr="00BE1D17">
        <w:rPr>
          <w:i/>
          <w:szCs w:val="20"/>
        </w:rPr>
        <w:t>Capacità di applicare le conoscenze acquisite</w:t>
      </w:r>
    </w:p>
    <w:p w14:paraId="11A2390C" w14:textId="77777777" w:rsidR="007D0A22" w:rsidRPr="00BE1D17" w:rsidRDefault="007D0A22" w:rsidP="007D0A22">
      <w:pPr>
        <w:pStyle w:val="Paragrafoelenco"/>
        <w:spacing w:after="120" w:line="276" w:lineRule="auto"/>
        <w:ind w:right="27"/>
        <w:rPr>
          <w:szCs w:val="20"/>
        </w:rPr>
      </w:pPr>
      <w:r w:rsidRPr="00BE1D17">
        <w:rPr>
          <w:szCs w:val="20"/>
        </w:rPr>
        <w:t>Gli studenti saranno invitati a fare osservazioni critiche e istituire confronti tra una visione e un’altra dell’etica classica, biblica e laica, e altresì assumere criticamente tali visioni, al fine di applicarle all’accrescimento della propria coscienza, nonché di ponderare, di meglio valutare e discutere le scelte fatte in proprio e quelle di quanti portano responsabilità di governo in campo religioso, politico, giuridico, economico.</w:t>
      </w:r>
    </w:p>
    <w:p w14:paraId="3BC15044" w14:textId="77777777" w:rsidR="007D0A22" w:rsidRPr="00BE1D17" w:rsidRDefault="007D0A22" w:rsidP="007D0A22">
      <w:pPr>
        <w:pStyle w:val="Paragrafoelenco"/>
        <w:numPr>
          <w:ilvl w:val="0"/>
          <w:numId w:val="1"/>
        </w:numPr>
        <w:spacing w:line="276" w:lineRule="auto"/>
        <w:ind w:right="27"/>
        <w:rPr>
          <w:i/>
          <w:iCs/>
          <w:szCs w:val="20"/>
        </w:rPr>
      </w:pPr>
      <w:r w:rsidRPr="00BE1D17">
        <w:rPr>
          <w:i/>
          <w:iCs/>
          <w:szCs w:val="20"/>
        </w:rPr>
        <w:t>Capacità di analisi critica e abilità comunicative</w:t>
      </w:r>
    </w:p>
    <w:p w14:paraId="02311154" w14:textId="77777777" w:rsidR="007D0A22" w:rsidRPr="00BE1D17" w:rsidRDefault="007D0A22" w:rsidP="007D0A22">
      <w:pPr>
        <w:pStyle w:val="Paragrafoelenco"/>
        <w:spacing w:line="276" w:lineRule="auto"/>
        <w:ind w:right="27"/>
        <w:rPr>
          <w:szCs w:val="20"/>
        </w:rPr>
      </w:pPr>
      <w:r w:rsidRPr="00BE1D17">
        <w:rPr>
          <w:szCs w:val="20"/>
        </w:rPr>
        <w:t xml:space="preserve">In un mondo, qual è il nostro, dominato dall’esposizione mediatica e dal venir meno dei confini tra arena pubblica e sfera privata, diventa oltremodo urgente, per un giovane che si affaccia all’età adulta, avere consapevolezza e della stratificazione diacronica dei significati delle parole prevalenti </w:t>
      </w:r>
      <w:r w:rsidRPr="00BE1D17">
        <w:rPr>
          <w:szCs w:val="20"/>
        </w:rPr>
        <w:lastRenderedPageBreak/>
        <w:t>nell’uso comune e dei criteri con cui leggere i fenomeni sociali e culturali, che investono gli atti e le scelte individuali.</w:t>
      </w:r>
    </w:p>
    <w:p w14:paraId="2F728814" w14:textId="6B9C4DE0" w:rsidR="007D0A22" w:rsidRPr="00BE1D17" w:rsidRDefault="007D0A22" w:rsidP="007D0A22">
      <w:pPr>
        <w:pStyle w:val="Paragrafoelenco"/>
        <w:spacing w:line="276" w:lineRule="auto"/>
        <w:ind w:right="27"/>
        <w:rPr>
          <w:szCs w:val="20"/>
        </w:rPr>
      </w:pPr>
      <w:r w:rsidRPr="00BE1D17">
        <w:rPr>
          <w:szCs w:val="20"/>
        </w:rPr>
        <w:t xml:space="preserve">La capacità di apprendimento sarà sollecitata da presentazioni, scambi verbali argomentati e da un esperimento di dibattito </w:t>
      </w:r>
      <w:r w:rsidR="00AD5063" w:rsidRPr="00BE1D17">
        <w:rPr>
          <w:szCs w:val="20"/>
        </w:rPr>
        <w:t xml:space="preserve">che </w:t>
      </w:r>
      <w:r w:rsidRPr="00BE1D17">
        <w:rPr>
          <w:szCs w:val="20"/>
        </w:rPr>
        <w:t>mett</w:t>
      </w:r>
      <w:r w:rsidR="00AD5063" w:rsidRPr="00BE1D17">
        <w:rPr>
          <w:szCs w:val="20"/>
        </w:rPr>
        <w:t>a</w:t>
      </w:r>
      <w:r w:rsidRPr="00BE1D17">
        <w:rPr>
          <w:szCs w:val="20"/>
        </w:rPr>
        <w:t xml:space="preserve"> a frutto una terminologia propria e </w:t>
      </w:r>
      <w:r w:rsidR="00AD5063" w:rsidRPr="00BE1D17">
        <w:rPr>
          <w:szCs w:val="20"/>
        </w:rPr>
        <w:t xml:space="preserve">faccia </w:t>
      </w:r>
      <w:r w:rsidRPr="00BE1D17">
        <w:rPr>
          <w:szCs w:val="20"/>
        </w:rPr>
        <w:t>ricor</w:t>
      </w:r>
      <w:r w:rsidR="00AD5063" w:rsidRPr="00BE1D17">
        <w:rPr>
          <w:szCs w:val="20"/>
        </w:rPr>
        <w:t>s</w:t>
      </w:r>
      <w:r w:rsidRPr="00BE1D17">
        <w:rPr>
          <w:szCs w:val="20"/>
        </w:rPr>
        <w:t>o a strumenti di analisi adeguati.</w:t>
      </w:r>
    </w:p>
    <w:p w14:paraId="0CC5E662" w14:textId="77777777" w:rsidR="007D0A22" w:rsidRPr="008A0BFF" w:rsidRDefault="007D0A22" w:rsidP="007D0A22">
      <w:pPr>
        <w:spacing w:before="240" w:after="120" w:line="276" w:lineRule="auto"/>
        <w:ind w:right="27"/>
        <w:rPr>
          <w:rFonts w:ascii="Times New Roman" w:hAnsi="Times New Roman" w:cs="Times New Roman"/>
          <w:b/>
          <w:i/>
          <w:sz w:val="18"/>
          <w:szCs w:val="18"/>
        </w:rPr>
      </w:pPr>
      <w:r w:rsidRPr="008A0BFF">
        <w:rPr>
          <w:rFonts w:ascii="Times New Roman" w:hAnsi="Times New Roman" w:cs="Times New Roman"/>
          <w:b/>
          <w:i/>
          <w:sz w:val="18"/>
          <w:szCs w:val="18"/>
        </w:rPr>
        <w:t>PROGRAMMA DEL CORSO</w:t>
      </w:r>
    </w:p>
    <w:p w14:paraId="1F23E517" w14:textId="77777777" w:rsidR="007D0A22" w:rsidRPr="00BE1D17" w:rsidRDefault="007D0A22" w:rsidP="007D0A22">
      <w:pPr>
        <w:spacing w:line="276" w:lineRule="auto"/>
        <w:ind w:right="27"/>
        <w:rPr>
          <w:rFonts w:ascii="Times New Roman" w:hAnsi="Times New Roman" w:cs="Times New Roman"/>
          <w:smallCaps/>
          <w:szCs w:val="20"/>
        </w:rPr>
      </w:pPr>
      <w:r w:rsidRPr="00BE1D17">
        <w:rPr>
          <w:rFonts w:ascii="Times New Roman" w:hAnsi="Times New Roman" w:cs="Times New Roman"/>
          <w:smallCaps/>
          <w:szCs w:val="20"/>
        </w:rPr>
        <w:t>Corso Monografico</w:t>
      </w:r>
    </w:p>
    <w:p w14:paraId="3F1872A1" w14:textId="77777777" w:rsidR="007D0A22" w:rsidRPr="00BE1D17" w:rsidRDefault="007D0A22" w:rsidP="007D0A22">
      <w:pPr>
        <w:spacing w:line="276" w:lineRule="auto"/>
        <w:ind w:right="27"/>
        <w:rPr>
          <w:rFonts w:ascii="Times New Roman" w:hAnsi="Times New Roman" w:cs="Times New Roman"/>
          <w:i/>
          <w:szCs w:val="20"/>
        </w:rPr>
      </w:pPr>
      <w:r w:rsidRPr="00BE1D17">
        <w:rPr>
          <w:rFonts w:ascii="Times New Roman" w:hAnsi="Times New Roman" w:cs="Times New Roman"/>
          <w:i/>
          <w:szCs w:val="20"/>
        </w:rPr>
        <w:t>La virtù per la riuscita e per la felicità.</w:t>
      </w:r>
    </w:p>
    <w:p w14:paraId="27F26B13" w14:textId="77777777" w:rsidR="007D0A22" w:rsidRPr="00BE1D17" w:rsidRDefault="007D0A22" w:rsidP="007D0A22">
      <w:pPr>
        <w:spacing w:line="276" w:lineRule="auto"/>
        <w:ind w:right="27"/>
        <w:rPr>
          <w:rFonts w:ascii="Times New Roman" w:hAnsi="Times New Roman" w:cs="Times New Roman"/>
          <w:i/>
          <w:szCs w:val="20"/>
        </w:rPr>
      </w:pPr>
      <w:r w:rsidRPr="00BE1D17">
        <w:rPr>
          <w:rFonts w:ascii="Times New Roman" w:hAnsi="Times New Roman" w:cs="Times New Roman"/>
          <w:i/>
          <w:szCs w:val="20"/>
        </w:rPr>
        <w:t>La nozione e la pratica delle virtù cardinali dal mondo antico a oggi.</w:t>
      </w:r>
    </w:p>
    <w:p w14:paraId="1A02708D" w14:textId="7612FE53" w:rsidR="007D0A22" w:rsidRPr="008A0BFF" w:rsidRDefault="007D0A22" w:rsidP="007D0A22">
      <w:pPr>
        <w:keepNext/>
        <w:spacing w:before="240" w:after="120" w:line="276" w:lineRule="auto"/>
        <w:ind w:right="27"/>
        <w:rPr>
          <w:rFonts w:ascii="Times New Roman" w:hAnsi="Times New Roman" w:cs="Times New Roman"/>
          <w:b/>
          <w:i/>
          <w:sz w:val="18"/>
          <w:szCs w:val="18"/>
        </w:rPr>
      </w:pPr>
      <w:r w:rsidRPr="008A0BFF">
        <w:rPr>
          <w:rFonts w:ascii="Times New Roman" w:hAnsi="Times New Roman" w:cs="Times New Roman"/>
          <w:b/>
          <w:i/>
          <w:sz w:val="18"/>
          <w:szCs w:val="18"/>
        </w:rPr>
        <w:t>BIBLIOGRAFIA</w:t>
      </w:r>
      <w:r w:rsidR="008258C5">
        <w:rPr>
          <w:rStyle w:val="Rimandonotaapidipagina"/>
          <w:rFonts w:ascii="Times New Roman" w:hAnsi="Times New Roman" w:cs="Times New Roman"/>
          <w:b/>
          <w:i/>
          <w:sz w:val="18"/>
          <w:szCs w:val="18"/>
        </w:rPr>
        <w:footnoteReference w:id="1"/>
      </w:r>
    </w:p>
    <w:p w14:paraId="6AA490FC" w14:textId="77777777" w:rsidR="007D0A22" w:rsidRPr="008A0BFF" w:rsidRDefault="007D0A22" w:rsidP="008A0BFF">
      <w:pPr>
        <w:pStyle w:val="Testo1"/>
        <w:spacing w:before="0"/>
        <w:rPr>
          <w:rFonts w:eastAsia="Times"/>
        </w:rPr>
      </w:pPr>
      <w:r w:rsidRPr="008A0BFF">
        <w:rPr>
          <w:rFonts w:eastAsia="Times"/>
        </w:rPr>
        <w:t>Gli studenti frequentanti si avvarranno degli appunti presi a lezione e delle indicazioni bibliografiche che si forniranno durante il corso.</w:t>
      </w:r>
    </w:p>
    <w:p w14:paraId="465B037D" w14:textId="77777777" w:rsidR="007D0A22" w:rsidRPr="008A0BFF" w:rsidRDefault="007D0A22" w:rsidP="008A0BFF">
      <w:pPr>
        <w:pStyle w:val="Testo1"/>
        <w:spacing w:before="0"/>
        <w:rPr>
          <w:rFonts w:eastAsia="Times"/>
        </w:rPr>
      </w:pPr>
      <w:r w:rsidRPr="008A0BFF">
        <w:rPr>
          <w:rFonts w:eastAsia="Times"/>
        </w:rPr>
        <w:t>Il docente si affiderà in particolare alle opere che seguono:</w:t>
      </w:r>
    </w:p>
    <w:p w14:paraId="2CA1BA7D" w14:textId="029E6855" w:rsidR="007D0A22" w:rsidRPr="008A0BFF" w:rsidRDefault="007D0A22" w:rsidP="008A0BFF">
      <w:pPr>
        <w:pStyle w:val="Testo1"/>
        <w:spacing w:before="0"/>
        <w:rPr>
          <w:rFonts w:eastAsia="Times"/>
        </w:rPr>
      </w:pPr>
      <w:r w:rsidRPr="008A0BFF">
        <w:rPr>
          <w:rFonts w:eastAsia="Times"/>
          <w:smallCaps/>
          <w:sz w:val="16"/>
        </w:rPr>
        <w:t>Alasdair McIntyre</w:t>
      </w:r>
      <w:r w:rsidRPr="008A0BFF">
        <w:rPr>
          <w:rFonts w:eastAsia="Times"/>
        </w:rPr>
        <w:t xml:space="preserve">, </w:t>
      </w:r>
      <w:r w:rsidRPr="008A0BFF">
        <w:rPr>
          <w:rFonts w:eastAsia="Times"/>
          <w:i/>
          <w:iCs/>
        </w:rPr>
        <w:t>Dopo la virtù. Saggio di teoria morale</w:t>
      </w:r>
      <w:r w:rsidRPr="008A0BFF">
        <w:rPr>
          <w:rFonts w:eastAsia="Times"/>
        </w:rPr>
        <w:t>, Armando, Roma 2009.</w:t>
      </w:r>
      <w:r w:rsidR="008258C5">
        <w:rPr>
          <w:rFonts w:eastAsia="Times"/>
        </w:rPr>
        <w:t xml:space="preserve"> </w:t>
      </w:r>
      <w:hyperlink r:id="rId8" w:history="1">
        <w:r w:rsidR="008258C5" w:rsidRPr="008258C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37C0C59" w14:textId="46442131" w:rsidR="007D0A22" w:rsidRPr="008A0BFF" w:rsidRDefault="007D0A22" w:rsidP="008A0BFF">
      <w:pPr>
        <w:pStyle w:val="Testo1"/>
        <w:spacing w:before="0"/>
        <w:rPr>
          <w:rFonts w:eastAsia="Times"/>
        </w:rPr>
      </w:pPr>
      <w:r w:rsidRPr="008A0BFF">
        <w:rPr>
          <w:rFonts w:eastAsia="Times"/>
          <w:smallCaps/>
          <w:sz w:val="16"/>
        </w:rPr>
        <w:t>Josef Pieper</w:t>
      </w:r>
      <w:r w:rsidRPr="008A0BFF">
        <w:rPr>
          <w:rFonts w:eastAsia="Times"/>
        </w:rPr>
        <w:t>, «</w:t>
      </w:r>
      <w:r w:rsidRPr="008A0BFF">
        <w:rPr>
          <w:rFonts w:eastAsia="Times"/>
          <w:i/>
          <w:iCs/>
        </w:rPr>
        <w:t>Otium» e culto</w:t>
      </w:r>
      <w:r w:rsidRPr="008A0BFF">
        <w:rPr>
          <w:rFonts w:eastAsia="Times"/>
        </w:rPr>
        <w:t>, Cantagalli, Siena 2010.</w:t>
      </w:r>
      <w:r w:rsidR="008258C5">
        <w:rPr>
          <w:rFonts w:eastAsia="Times"/>
        </w:rPr>
        <w:t xml:space="preserve"> </w:t>
      </w:r>
      <w:hyperlink r:id="rId9" w:history="1">
        <w:r w:rsidR="008258C5" w:rsidRPr="008258C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8F2A259" w14:textId="18ECE958" w:rsidR="007D0A22" w:rsidRPr="008A0BFF" w:rsidRDefault="007D0A22" w:rsidP="008A0BFF">
      <w:pPr>
        <w:pStyle w:val="Testo1"/>
        <w:spacing w:before="0"/>
        <w:rPr>
          <w:rFonts w:eastAsia="Times"/>
        </w:rPr>
      </w:pPr>
      <w:r w:rsidRPr="008A0BFF">
        <w:rPr>
          <w:rFonts w:eastAsia="Times"/>
          <w:smallCaps/>
          <w:sz w:val="16"/>
        </w:rPr>
        <w:t>Luca Montecchi</w:t>
      </w:r>
      <w:r w:rsidRPr="008A0BFF">
        <w:rPr>
          <w:rFonts w:eastAsia="Times"/>
        </w:rPr>
        <w:t xml:space="preserve">, </w:t>
      </w:r>
      <w:r w:rsidRPr="008A0BFF">
        <w:rPr>
          <w:rFonts w:eastAsia="Times"/>
          <w:i/>
          <w:iCs/>
        </w:rPr>
        <w:t>Maometto. L’anno dell’Égira</w:t>
      </w:r>
      <w:r w:rsidRPr="008A0BFF">
        <w:rPr>
          <w:rFonts w:eastAsia="Times"/>
        </w:rPr>
        <w:t>, Bolis, Bergamo 2023.</w:t>
      </w:r>
      <w:r w:rsidR="008258C5">
        <w:rPr>
          <w:rFonts w:eastAsia="Times"/>
        </w:rPr>
        <w:t xml:space="preserve"> </w:t>
      </w:r>
      <w:hyperlink r:id="rId10" w:history="1">
        <w:r w:rsidR="008258C5" w:rsidRPr="008258C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F4B1F60" w14:textId="41BBAE64" w:rsidR="007D0A22" w:rsidRPr="001C7342" w:rsidRDefault="007D0A22" w:rsidP="007D0A22">
      <w:pPr>
        <w:spacing w:before="240" w:after="120" w:line="276" w:lineRule="auto"/>
        <w:ind w:right="27"/>
        <w:rPr>
          <w:rFonts w:ascii="Times New Roman" w:hAnsi="Times New Roman" w:cs="Times New Roman"/>
          <w:b/>
          <w:i/>
          <w:sz w:val="18"/>
          <w:szCs w:val="18"/>
        </w:rPr>
      </w:pPr>
      <w:r w:rsidRPr="001C7342"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14:paraId="2FFF870F" w14:textId="77777777" w:rsidR="007D0A22" w:rsidRPr="001C7342" w:rsidRDefault="007D0A22" w:rsidP="001C7342">
      <w:pPr>
        <w:pStyle w:val="Testo2"/>
        <w:rPr>
          <w:rFonts w:eastAsia="Times"/>
        </w:rPr>
      </w:pPr>
      <w:r w:rsidRPr="001C7342">
        <w:rPr>
          <w:rFonts w:eastAsia="Times"/>
        </w:rPr>
        <w:t>A lezione si leggeranno e commenteranno i testi di maggior significato e rilievo per il tema oggetto del corso. Questo si svolgerà lungo lezioni in aula di esposizione della materia, con approfondimento teorico e discussioni intorno a questioni specifiche poste dal docente o sollevate dagli studenti.</w:t>
      </w:r>
    </w:p>
    <w:p w14:paraId="78ED148D" w14:textId="77777777" w:rsidR="007D0A22" w:rsidRPr="001C7342" w:rsidRDefault="007D0A22" w:rsidP="007D0A22">
      <w:pPr>
        <w:spacing w:before="240" w:after="120" w:line="276" w:lineRule="auto"/>
        <w:ind w:right="27"/>
        <w:rPr>
          <w:rFonts w:ascii="Times New Roman" w:hAnsi="Times New Roman" w:cs="Times New Roman"/>
          <w:b/>
          <w:i/>
          <w:sz w:val="18"/>
          <w:szCs w:val="18"/>
        </w:rPr>
      </w:pPr>
      <w:r w:rsidRPr="001C7342">
        <w:rPr>
          <w:rFonts w:ascii="Times New Roman" w:hAnsi="Times New Roman" w:cs="Times New Roman"/>
          <w:b/>
          <w:i/>
          <w:sz w:val="18"/>
          <w:szCs w:val="18"/>
        </w:rPr>
        <w:t>METODO E CRITERI DI VALUTAZIONE</w:t>
      </w:r>
    </w:p>
    <w:p w14:paraId="3A3A57B7" w14:textId="3B9B7BF1" w:rsidR="007D0A22" w:rsidRPr="001C7342" w:rsidRDefault="007D0A22" w:rsidP="001C7342">
      <w:pPr>
        <w:pStyle w:val="Testo2"/>
      </w:pPr>
      <w:r w:rsidRPr="001C7342">
        <w:rPr>
          <w:rFonts w:eastAsia="Times"/>
        </w:rPr>
        <w:t>Il colloquio relativo alla cultura di una delle aree linguistiche andrà sostenuto col docente di pertinenza secondo le modalità fissate dal docente medesimo. L’esame di Cultura e civiltà d’Europa andrà sostenuto in un appello ufficiale, dopo aver superato il colloquio nelle singole aree linguistiche.</w:t>
      </w:r>
    </w:p>
    <w:p w14:paraId="6B43CFEF" w14:textId="77777777" w:rsidR="007D0A22" w:rsidRPr="001C7342" w:rsidRDefault="007D0A22" w:rsidP="001C7342">
      <w:pPr>
        <w:pStyle w:val="Testo2"/>
        <w:rPr>
          <w:rFonts w:eastAsia="Times"/>
        </w:rPr>
      </w:pPr>
      <w:r w:rsidRPr="001C7342">
        <w:rPr>
          <w:rFonts w:eastAsia="Times"/>
        </w:rPr>
        <w:t>La prova consiste:</w:t>
      </w:r>
    </w:p>
    <w:p w14:paraId="238CF677" w14:textId="77777777" w:rsidR="007D0A22" w:rsidRPr="001C7342" w:rsidRDefault="007D0A22" w:rsidP="001C7342">
      <w:pPr>
        <w:pStyle w:val="Testo2"/>
        <w:rPr>
          <w:rFonts w:eastAsia="Times"/>
        </w:rPr>
      </w:pPr>
      <w:r w:rsidRPr="001C7342">
        <w:rPr>
          <w:rFonts w:eastAsia="Times"/>
        </w:rPr>
        <w:t>1.</w:t>
      </w:r>
      <w:r w:rsidRPr="001C7342">
        <w:rPr>
          <w:rFonts w:eastAsia="Times"/>
        </w:rPr>
        <w:tab/>
        <w:t>nella valutazione della conoscenza di categorie e strutture fondamentali della storia culturale europea;</w:t>
      </w:r>
    </w:p>
    <w:p w14:paraId="71D809C5" w14:textId="77777777" w:rsidR="007D0A22" w:rsidRPr="001C7342" w:rsidRDefault="007D0A22" w:rsidP="001C7342">
      <w:pPr>
        <w:pStyle w:val="Testo2"/>
        <w:rPr>
          <w:rFonts w:eastAsia="Times"/>
        </w:rPr>
      </w:pPr>
      <w:r w:rsidRPr="001C7342">
        <w:rPr>
          <w:rFonts w:eastAsia="Times"/>
        </w:rPr>
        <w:t>2.</w:t>
      </w:r>
      <w:r w:rsidRPr="001C7342">
        <w:rPr>
          <w:rFonts w:eastAsia="Times"/>
        </w:rPr>
        <w:tab/>
        <w:t>in un esame dei testi e delle altre testimonianze culturali commentati a lezione, o delle letture alternative per i non frequentanti.</w:t>
      </w:r>
    </w:p>
    <w:p w14:paraId="07FBC2E8" w14:textId="77777777" w:rsidR="007D0A22" w:rsidRPr="001C7342" w:rsidRDefault="007D0A22" w:rsidP="001C7342">
      <w:pPr>
        <w:pStyle w:val="Testo2"/>
        <w:rPr>
          <w:rFonts w:eastAsia="Times"/>
        </w:rPr>
      </w:pPr>
      <w:r w:rsidRPr="001C7342">
        <w:rPr>
          <w:rFonts w:eastAsia="Times"/>
        </w:rPr>
        <w:lastRenderedPageBreak/>
        <w:t>NB.</w:t>
      </w:r>
      <w:r w:rsidRPr="001C7342">
        <w:rPr>
          <w:rFonts w:eastAsia="Times"/>
        </w:rPr>
        <w:tab/>
        <w:t>S’intende che i “non frequentanti” concorderanno il programma d’esame previo colloquio col docente sottoscritto.</w:t>
      </w:r>
    </w:p>
    <w:p w14:paraId="6070E6F7" w14:textId="77777777" w:rsidR="007D0A22" w:rsidRPr="001C7342" w:rsidRDefault="007D0A22" w:rsidP="001C7342">
      <w:pPr>
        <w:pStyle w:val="Testo2"/>
        <w:rPr>
          <w:rFonts w:eastAsia="Times"/>
        </w:rPr>
      </w:pPr>
      <w:r w:rsidRPr="001C7342">
        <w:rPr>
          <w:rFonts w:eastAsia="Times"/>
        </w:rPr>
        <w:t>Il voto finale risulterà dalla media ponderata tra il voto ottenuto nel colloquio relativo alle singole lingue e quello ottenuto nell’esame finale.</w:t>
      </w:r>
    </w:p>
    <w:p w14:paraId="665983C5" w14:textId="77777777" w:rsidR="007D0A22" w:rsidRPr="001C7342" w:rsidRDefault="007D0A22" w:rsidP="001C7342">
      <w:pPr>
        <w:pStyle w:val="Testo2"/>
      </w:pPr>
      <w:r w:rsidRPr="001C7342">
        <w:rPr>
          <w:rFonts w:eastAsia="Times"/>
        </w:rPr>
        <w:t>Circa il primo punto del programma, che prevede la conoscenza delle categorie e strutture fondamentali della storia culturale europea, si richiede una preparazione generale almeno corrispondente a quella raggiungibile con lo studio di un manuale di storia di scuola media inferiore.</w:t>
      </w:r>
    </w:p>
    <w:p w14:paraId="132107F1" w14:textId="77777777" w:rsidR="007D0A22" w:rsidRPr="001C7342" w:rsidRDefault="007D0A22" w:rsidP="007D0A22">
      <w:pPr>
        <w:spacing w:before="240" w:after="120" w:line="276" w:lineRule="auto"/>
        <w:ind w:right="27"/>
        <w:rPr>
          <w:rFonts w:ascii="Times New Roman" w:hAnsi="Times New Roman" w:cs="Times New Roman"/>
          <w:b/>
          <w:i/>
          <w:sz w:val="18"/>
          <w:szCs w:val="18"/>
        </w:rPr>
      </w:pPr>
      <w:r w:rsidRPr="001C7342"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14:paraId="753A6730" w14:textId="77777777" w:rsidR="007D0A22" w:rsidRPr="001C7342" w:rsidRDefault="007D0A22" w:rsidP="001C7342">
      <w:pPr>
        <w:pStyle w:val="Testo2"/>
        <w:rPr>
          <w:rFonts w:eastAsia="Times"/>
          <w:i/>
          <w:iCs/>
        </w:rPr>
      </w:pPr>
      <w:r w:rsidRPr="001C7342">
        <w:rPr>
          <w:rFonts w:eastAsia="Times"/>
          <w:i/>
          <w:iCs/>
        </w:rPr>
        <w:t>Orario e luogo di ricevimento</w:t>
      </w:r>
    </w:p>
    <w:p w14:paraId="5C9596F2" w14:textId="079042B1" w:rsidR="007D0A22" w:rsidRPr="001C7342" w:rsidRDefault="007D0A22" w:rsidP="001C7342">
      <w:pPr>
        <w:pStyle w:val="Testo2"/>
        <w:rPr>
          <w:rFonts w:eastAsia="Times"/>
        </w:rPr>
      </w:pPr>
      <w:r w:rsidRPr="001C7342">
        <w:rPr>
          <w:rFonts w:eastAsia="Times"/>
        </w:rPr>
        <w:t xml:space="preserve">Il </w:t>
      </w:r>
      <w:r w:rsidR="001C7342">
        <w:rPr>
          <w:rFonts w:eastAsia="Times"/>
        </w:rPr>
        <w:t>P</w:t>
      </w:r>
      <w:r w:rsidRPr="001C7342">
        <w:rPr>
          <w:rFonts w:eastAsia="Times"/>
        </w:rPr>
        <w:t>rof. Luca Montecchi è disponibile al ricevimento degli studenti previo appuntamento di volta in volta concordato.</w:t>
      </w:r>
    </w:p>
    <w:sectPr w:rsidR="007D0A22" w:rsidRPr="001C73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291" w14:textId="77777777" w:rsidR="008258C5" w:rsidRDefault="008258C5" w:rsidP="008258C5">
      <w:pPr>
        <w:spacing w:line="240" w:lineRule="auto"/>
      </w:pPr>
      <w:r>
        <w:separator/>
      </w:r>
    </w:p>
  </w:endnote>
  <w:endnote w:type="continuationSeparator" w:id="0">
    <w:p w14:paraId="00B79554" w14:textId="77777777" w:rsidR="008258C5" w:rsidRDefault="008258C5" w:rsidP="00825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nux Libertine G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3666" w14:textId="77777777" w:rsidR="008258C5" w:rsidRDefault="008258C5" w:rsidP="008258C5">
      <w:pPr>
        <w:spacing w:line="240" w:lineRule="auto"/>
      </w:pPr>
      <w:r>
        <w:separator/>
      </w:r>
    </w:p>
  </w:footnote>
  <w:footnote w:type="continuationSeparator" w:id="0">
    <w:p w14:paraId="2303CFB5" w14:textId="77777777" w:rsidR="008258C5" w:rsidRDefault="008258C5" w:rsidP="008258C5">
      <w:pPr>
        <w:spacing w:line="240" w:lineRule="auto"/>
      </w:pPr>
      <w:r>
        <w:continuationSeparator/>
      </w:r>
    </w:p>
  </w:footnote>
  <w:footnote w:id="1">
    <w:p w14:paraId="51B3BE1C" w14:textId="55C5B798" w:rsidR="008258C5" w:rsidRDefault="008258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56C"/>
    <w:multiLevelType w:val="hybridMultilevel"/>
    <w:tmpl w:val="46DCB71E"/>
    <w:lvl w:ilvl="0" w:tplc="7C22C5BA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15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33"/>
    <w:rsid w:val="00133CB1"/>
    <w:rsid w:val="001A69D7"/>
    <w:rsid w:val="001C7342"/>
    <w:rsid w:val="003B2008"/>
    <w:rsid w:val="006445A2"/>
    <w:rsid w:val="007D0A22"/>
    <w:rsid w:val="008258C5"/>
    <w:rsid w:val="008A0BFF"/>
    <w:rsid w:val="008C0D33"/>
    <w:rsid w:val="009C58FC"/>
    <w:rsid w:val="00AD5063"/>
    <w:rsid w:val="00BE1D17"/>
    <w:rsid w:val="00CD57AE"/>
    <w:rsid w:val="00D83359"/>
    <w:rsid w:val="00E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AE8F"/>
  <w15:chartTrackingRefBased/>
  <w15:docId w15:val="{B4A85DB7-5297-2F47-8F9F-7E94374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0D33"/>
    <w:pPr>
      <w:suppressAutoHyphens/>
      <w:spacing w:line="240" w:lineRule="exact"/>
      <w:jc w:val="both"/>
    </w:pPr>
    <w:rPr>
      <w:rFonts w:ascii="Calibri" w:eastAsia="MS Mincho" w:hAnsi="Calibri" w:cs="Linux Libertine G"/>
      <w:kern w:val="0"/>
      <w:sz w:val="20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0D33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0D33"/>
    <w:pPr>
      <w:outlineLvl w:val="1"/>
    </w:pPr>
    <w:rPr>
      <w:rFonts w:ascii="Times" w:hAnsi="Times"/>
      <w:small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0D33"/>
    <w:rPr>
      <w:rFonts w:ascii="Times" w:eastAsia="MS Mincho" w:hAnsi="Times" w:cs="Linux Libertine G"/>
      <w:b/>
      <w:kern w:val="0"/>
      <w:sz w:val="20"/>
      <w:lang w:eastAsia="zh-CN" w:bidi="hi-IN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0D33"/>
    <w:rPr>
      <w:rFonts w:ascii="Times" w:eastAsia="MS Mincho" w:hAnsi="Times" w:cs="Linux Libertine G"/>
      <w:smallCaps/>
      <w:kern w:val="0"/>
      <w:sz w:val="18"/>
      <w:lang w:eastAsia="zh-CN" w:bidi="hi-IN"/>
      <w14:ligatures w14:val="none"/>
    </w:rPr>
  </w:style>
  <w:style w:type="paragraph" w:customStyle="1" w:styleId="Testo1">
    <w:name w:val="Testo 1"/>
    <w:rsid w:val="007D0A2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kern w:val="0"/>
      <w:sz w:val="18"/>
      <w:szCs w:val="20"/>
      <w:lang w:eastAsia="it-IT"/>
      <w14:ligatures w14:val="none"/>
    </w:rPr>
  </w:style>
  <w:style w:type="paragraph" w:customStyle="1" w:styleId="Testo2">
    <w:name w:val="Testo 2"/>
    <w:rsid w:val="007D0A2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kern w:val="0"/>
      <w:sz w:val="18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7D0A22"/>
    <w:pPr>
      <w:tabs>
        <w:tab w:val="left" w:pos="284"/>
      </w:tabs>
      <w:suppressAutoHyphens w:val="0"/>
      <w:spacing w:line="220" w:lineRule="exact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8C5"/>
    <w:pPr>
      <w:spacing w:line="240" w:lineRule="auto"/>
    </w:pPr>
    <w:rPr>
      <w:rFonts w:cs="Mangal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8C5"/>
    <w:rPr>
      <w:rFonts w:ascii="Calibri" w:eastAsia="MS Mincho" w:hAnsi="Calibri" w:cs="Mangal"/>
      <w:kern w:val="0"/>
      <w:sz w:val="20"/>
      <w:szCs w:val="18"/>
      <w:lang w:eastAsia="zh-CN" w:bidi="hi-IN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8C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58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cintyre-alasdair/dopo-la-virtu-9788883589218-1763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uca-montecchi/maometto-lanno-dellegira-9-settembre-622-9788878275492-7229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osef-pieper/otium-e-culto-9788882725907-30473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D804-D6E4-4C2C-9DC4-66D864CF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Montecchi</dc:creator>
  <cp:keywords/>
  <dc:description/>
  <cp:lastModifiedBy>Rolli Andrea</cp:lastModifiedBy>
  <cp:revision>5</cp:revision>
  <dcterms:created xsi:type="dcterms:W3CDTF">2023-07-10T06:21:00Z</dcterms:created>
  <dcterms:modified xsi:type="dcterms:W3CDTF">2023-07-10T09:11:00Z</dcterms:modified>
</cp:coreProperties>
</file>