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B06" w14:textId="587ACF29" w:rsidR="00360F2F" w:rsidRDefault="00C07B83" w:rsidP="00360F2F">
      <w:pPr>
        <w:pStyle w:val="Titolo1"/>
        <w:rPr>
          <w:lang w:val="en-US"/>
        </w:rPr>
      </w:pPr>
      <w:r w:rsidRPr="00C07B83">
        <w:rPr>
          <w:lang w:val="en-US"/>
        </w:rPr>
        <w:t xml:space="preserve">Service </w:t>
      </w:r>
      <w:r>
        <w:rPr>
          <w:lang w:val="en-US"/>
        </w:rPr>
        <w:t>M</w:t>
      </w:r>
      <w:r w:rsidRPr="00C07B83">
        <w:rPr>
          <w:lang w:val="en-US"/>
        </w:rPr>
        <w:t xml:space="preserve">anagement e </w:t>
      </w:r>
      <w:r>
        <w:rPr>
          <w:lang w:val="en-US"/>
        </w:rPr>
        <w:t>M</w:t>
      </w:r>
      <w:r w:rsidRPr="00C07B83">
        <w:rPr>
          <w:lang w:val="en-US"/>
        </w:rPr>
        <w:t>arketing</w:t>
      </w:r>
      <w:r>
        <w:rPr>
          <w:lang w:val="en-US"/>
        </w:rPr>
        <w:t xml:space="preserve"> (con modulo Service Design)</w:t>
      </w:r>
    </w:p>
    <w:p w14:paraId="20DA9A4E" w14:textId="77777777" w:rsidR="00360F2F" w:rsidRDefault="00360F2F" w:rsidP="00360F2F">
      <w:pPr>
        <w:pStyle w:val="Titolo2"/>
      </w:pPr>
      <w:r w:rsidRPr="00295456">
        <w:rPr>
          <w:lang w:val="en-US"/>
        </w:rPr>
        <w:t xml:space="preserve">Prof. </w:t>
      </w:r>
      <w:r w:rsidRPr="00AA251F">
        <w:t>Roberta Sebastiani; Pro</w:t>
      </w:r>
      <w:r>
        <w:t>f. Francesca Montagnini</w:t>
      </w:r>
    </w:p>
    <w:p w14:paraId="7D5E73DB" w14:textId="77777777" w:rsidR="002D5E17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C5BA90" w14:textId="1DBA8249" w:rsidR="00C07B83" w:rsidRPr="00C54712" w:rsidRDefault="00360F2F" w:rsidP="00FF3348">
      <w:pPr>
        <w:spacing w:line="240" w:lineRule="exact"/>
        <w:rPr>
          <w:szCs w:val="20"/>
        </w:rPr>
      </w:pPr>
      <w:r w:rsidRPr="00C54712">
        <w:rPr>
          <w:szCs w:val="20"/>
        </w:rPr>
        <w:t xml:space="preserve">Il corso si prefigge di analizzare le tematiche chiave relative all’evoluzione delle dinamiche relazionali, derivanti dal crescente processo di </w:t>
      </w:r>
      <w:r w:rsidRPr="00C54712">
        <w:rPr>
          <w:i/>
          <w:szCs w:val="20"/>
        </w:rPr>
        <w:t>servitization</w:t>
      </w:r>
      <w:r w:rsidR="00C07B83" w:rsidRPr="00C54712">
        <w:rPr>
          <w:szCs w:val="20"/>
        </w:rPr>
        <w:t xml:space="preserve"> dei mercati. A partire dalle più rilevanti aree di specificità legate al management dei servizi, si approfondiranno le implicazioni che tali dimensioni hanno rispetto alla gestione dei processi interni e di interazione con gli stakeholder di riferimento, in particolare i fruitori dei servizi stessi. Si ripercorreranno quindi le fasi fondamentali del customer journey che determinano la customer experience complessiva e le implicazioni in termini di gestione delle leve del marketing mix declinate con riferimento alle realtà di servizi. </w:t>
      </w:r>
    </w:p>
    <w:p w14:paraId="3CBC5B6B" w14:textId="77777777" w:rsidR="00360F2F" w:rsidRPr="00C54712" w:rsidRDefault="00360F2F" w:rsidP="00FF3348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Al termine del corso gli studenti saranno in grado di:</w:t>
      </w:r>
    </w:p>
    <w:p w14:paraId="210BE9D8" w14:textId="44397DA8" w:rsidR="00360F2F" w:rsidRPr="00C5471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Comprendere le specificità della gestione di un servizio</w:t>
      </w:r>
      <w:r w:rsidR="008E03A4" w:rsidRPr="00C54712">
        <w:rPr>
          <w:rStyle w:val="normaltextrun"/>
          <w:bCs/>
          <w:iCs/>
          <w:sz w:val="20"/>
          <w:szCs w:val="20"/>
        </w:rPr>
        <w:t xml:space="preserve"> in un contesto organizzativo</w:t>
      </w:r>
      <w:r w:rsidRPr="00C54712">
        <w:rPr>
          <w:rStyle w:val="normaltextrun"/>
          <w:bCs/>
          <w:iCs/>
          <w:sz w:val="20"/>
          <w:szCs w:val="20"/>
        </w:rPr>
        <w:t>;</w:t>
      </w:r>
    </w:p>
    <w:p w14:paraId="6116D25E" w14:textId="165A34F5" w:rsidR="00360F2F" w:rsidRPr="00C5471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 xml:space="preserve">Declinare tali specificità </w:t>
      </w:r>
      <w:r w:rsidR="00757A70" w:rsidRPr="00C54712">
        <w:rPr>
          <w:rStyle w:val="normaltextrun"/>
          <w:bCs/>
          <w:iCs/>
          <w:sz w:val="20"/>
          <w:szCs w:val="20"/>
        </w:rPr>
        <w:t xml:space="preserve">nei diversi contesti </w:t>
      </w:r>
      <w:r w:rsidR="008E03A4" w:rsidRPr="00C54712">
        <w:rPr>
          <w:rStyle w:val="normaltextrun"/>
          <w:bCs/>
          <w:iCs/>
          <w:sz w:val="20"/>
          <w:szCs w:val="20"/>
        </w:rPr>
        <w:t>settoriali</w:t>
      </w:r>
      <w:r w:rsidRPr="00C54712">
        <w:rPr>
          <w:rStyle w:val="normaltextrun"/>
          <w:bCs/>
          <w:iCs/>
          <w:sz w:val="20"/>
          <w:szCs w:val="20"/>
        </w:rPr>
        <w:t>;</w:t>
      </w:r>
    </w:p>
    <w:p w14:paraId="43914441" w14:textId="7929B266" w:rsidR="00360F2F" w:rsidRPr="00C5471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Comprendere la centralità delle aspettative e delle percezioni del cliente e della gestione della “customer relationship” nel contesto dei servizi;</w:t>
      </w:r>
    </w:p>
    <w:p w14:paraId="3A6CB2CD" w14:textId="2BC02EC7" w:rsidR="00360F2F" w:rsidRPr="00C54712" w:rsidRDefault="009721BB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Individuare</w:t>
      </w:r>
      <w:r w:rsidR="00360F2F" w:rsidRPr="00C54712">
        <w:rPr>
          <w:rStyle w:val="normaltextrun"/>
          <w:bCs/>
          <w:iCs/>
          <w:sz w:val="20"/>
          <w:szCs w:val="20"/>
        </w:rPr>
        <w:t xml:space="preserve"> le opportunità e le sfide legate alla innovazione nell’ambito dei servizi</w:t>
      </w:r>
      <w:r w:rsidRPr="00C54712">
        <w:rPr>
          <w:rStyle w:val="normaltextrun"/>
          <w:bCs/>
          <w:iCs/>
          <w:sz w:val="20"/>
          <w:szCs w:val="20"/>
        </w:rPr>
        <w:t>;</w:t>
      </w:r>
      <w:r w:rsidR="00360F2F" w:rsidRPr="00C54712">
        <w:rPr>
          <w:rStyle w:val="normaltextrun"/>
          <w:bCs/>
          <w:iCs/>
          <w:sz w:val="20"/>
          <w:szCs w:val="20"/>
        </w:rPr>
        <w:t xml:space="preserve"> </w:t>
      </w:r>
    </w:p>
    <w:p w14:paraId="5EAB171D" w14:textId="38DCE0CD" w:rsidR="00360F2F" w:rsidRPr="00C5471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Gestire la customer experience e il customer journey nel contesto dei servizi</w:t>
      </w:r>
      <w:r w:rsidR="00005645" w:rsidRPr="00C54712">
        <w:rPr>
          <w:rStyle w:val="normaltextrun"/>
          <w:bCs/>
          <w:iCs/>
          <w:sz w:val="20"/>
          <w:szCs w:val="20"/>
        </w:rPr>
        <w:t>;</w:t>
      </w:r>
    </w:p>
    <w:p w14:paraId="0CA8E846" w14:textId="4FB05037" w:rsidR="00005645" w:rsidRPr="00C54712" w:rsidRDefault="0000564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Definire i KPI per la misurazione della customer satisfaction e la sua gestione;</w:t>
      </w:r>
    </w:p>
    <w:p w14:paraId="3A022B6B" w14:textId="3B9C3E88" w:rsidR="00005645" w:rsidRPr="00C54712" w:rsidRDefault="0000564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C54712">
        <w:rPr>
          <w:rStyle w:val="normaltextrun"/>
          <w:bCs/>
          <w:iCs/>
          <w:sz w:val="20"/>
          <w:szCs w:val="20"/>
        </w:rPr>
        <w:t>Progettare in dettaglio l’esperienza di servizio nelle sue dimensioni costitutive.</w:t>
      </w:r>
      <w:r w:rsidR="009235A5" w:rsidRPr="00C54712">
        <w:rPr>
          <w:rStyle w:val="normaltextrun"/>
          <w:bCs/>
          <w:iCs/>
          <w:sz w:val="20"/>
          <w:szCs w:val="20"/>
        </w:rPr>
        <w:t xml:space="preserve"> </w:t>
      </w:r>
    </w:p>
    <w:p w14:paraId="64A28CC6" w14:textId="77777777" w:rsidR="00360F2F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A47CE" w14:textId="35E25ED8" w:rsidR="00AE43CB" w:rsidRPr="00C54712" w:rsidRDefault="00360F2F" w:rsidP="00AE43CB">
      <w:pPr>
        <w:spacing w:line="240" w:lineRule="exact"/>
        <w:ind w:left="284" w:hanging="284"/>
        <w:rPr>
          <w:szCs w:val="20"/>
        </w:rPr>
      </w:pPr>
      <w:r w:rsidRPr="00C54712">
        <w:rPr>
          <w:szCs w:val="20"/>
        </w:rPr>
        <w:t>–</w:t>
      </w:r>
      <w:r w:rsidRPr="00C54712">
        <w:rPr>
          <w:szCs w:val="20"/>
        </w:rPr>
        <w:tab/>
      </w:r>
      <w:r w:rsidR="00AE43CB" w:rsidRPr="00C54712">
        <w:rPr>
          <w:szCs w:val="20"/>
        </w:rPr>
        <w:t>Caratteristiche e specificità di gestione di un servizio;</w:t>
      </w:r>
    </w:p>
    <w:p w14:paraId="4DC23429" w14:textId="6E725BFD" w:rsidR="00AE43CB" w:rsidRPr="00C54712" w:rsidRDefault="00AE43CB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Customer centricity e modello dei Gap;</w:t>
      </w:r>
    </w:p>
    <w:p w14:paraId="795439B4" w14:textId="2BE365B9" w:rsidR="00216199" w:rsidRPr="00C54712" w:rsidRDefault="00216199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 xml:space="preserve">La </w:t>
      </w:r>
      <w:r w:rsidR="00AE43CB" w:rsidRPr="00C54712">
        <w:rPr>
          <w:szCs w:val="20"/>
        </w:rPr>
        <w:t>customer</w:t>
      </w:r>
      <w:r w:rsidRPr="00C54712">
        <w:rPr>
          <w:szCs w:val="20"/>
        </w:rPr>
        <w:t xml:space="preserve"> experience ne</w:t>
      </w:r>
      <w:r w:rsidR="00AE43CB" w:rsidRPr="00C54712">
        <w:rPr>
          <w:szCs w:val="20"/>
        </w:rPr>
        <w:t>i servizi e le sue determinanti: aspettative e percezioni nelle fasi del customer journey;</w:t>
      </w:r>
    </w:p>
    <w:p w14:paraId="206788B1" w14:textId="08247068" w:rsidR="00AE43CB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Service innovation e risposte al cambiamento: tra dimensione fisica e dimensione virtuale;</w:t>
      </w:r>
    </w:p>
    <w:p w14:paraId="2F4AAB3F" w14:textId="3F569A7A" w:rsidR="00DD4E50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Qualità dei servizi, customer satisfaction e customer loyalty;</w:t>
      </w:r>
    </w:p>
    <w:p w14:paraId="6795D4E6" w14:textId="2E3ED3A2" w:rsidR="00DD4E50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La rilevanza del serviscape nell’erogazione di un servizio;</w:t>
      </w:r>
    </w:p>
    <w:p w14:paraId="072B14D3" w14:textId="7FB0C890" w:rsidR="00DD4E50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 xml:space="preserve">La gestione della relazione nei servizi: il ruolo delle persone </w:t>
      </w:r>
    </w:p>
    <w:p w14:paraId="43E90613" w14:textId="18148DEF" w:rsidR="00DD4E50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Service design per lo sviluppo di un nuovo servizio;</w:t>
      </w:r>
    </w:p>
    <w:p w14:paraId="53E513D3" w14:textId="60697FD7" w:rsidR="00DD4E50" w:rsidRPr="00C5471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szCs w:val="20"/>
        </w:rPr>
      </w:pPr>
      <w:r w:rsidRPr="00C54712">
        <w:rPr>
          <w:szCs w:val="20"/>
        </w:rPr>
        <w:t>Il blueprinting.</w:t>
      </w:r>
    </w:p>
    <w:p w14:paraId="31047ED1" w14:textId="26C2EA12" w:rsidR="00360F2F" w:rsidRPr="00FF3348" w:rsidRDefault="00360F2F" w:rsidP="00FF3348">
      <w:pPr>
        <w:spacing w:before="240" w:after="120"/>
        <w:rPr>
          <w:b/>
          <w:i/>
          <w:sz w:val="18"/>
        </w:rPr>
      </w:pPr>
      <w:r w:rsidRPr="00FF3348">
        <w:rPr>
          <w:b/>
          <w:i/>
          <w:sz w:val="18"/>
        </w:rPr>
        <w:lastRenderedPageBreak/>
        <w:t>BIBLIOGRAFIA</w:t>
      </w:r>
    </w:p>
    <w:p w14:paraId="4C0AD32A" w14:textId="41ED165C" w:rsidR="00922030" w:rsidRPr="00922030" w:rsidRDefault="00922030" w:rsidP="00922030">
      <w:pPr>
        <w:pStyle w:val="Testo2"/>
      </w:pPr>
      <w:r>
        <w:t>V. Zeithaml, M. Bitner, D. Gremler, M. Mende (2023</w:t>
      </w:r>
      <w:r w:rsidRPr="0067621A">
        <w:rPr>
          <w:i/>
        </w:rPr>
        <w:t>), Services Marketing: Integrating customer focus across the firm</w:t>
      </w:r>
      <w:r>
        <w:t xml:space="preserve">, </w:t>
      </w:r>
      <w:r w:rsidRPr="00922030">
        <w:rPr>
          <w:b/>
        </w:rPr>
        <w:t>VIII ed</w:t>
      </w:r>
      <w:r w:rsidRPr="00922030">
        <w:t>., Mc-Graw-Hill.</w:t>
      </w:r>
    </w:p>
    <w:p w14:paraId="5653D563" w14:textId="77777777" w:rsidR="00922030" w:rsidRDefault="00922030" w:rsidP="00922030">
      <w:pPr>
        <w:pStyle w:val="Testo2"/>
      </w:pPr>
      <w:r>
        <w:t>Il testo sarà completato da articoli e paper che, unitamente alle slide, saranno caricati durante il corso sulla piattaforma Blackboard e costituiranno materiale di studio integrante per sostenere l’esame.</w:t>
      </w:r>
    </w:p>
    <w:p w14:paraId="29108BF2" w14:textId="77777777" w:rsidR="00922030" w:rsidRDefault="00922030" w:rsidP="00922030">
      <w:pPr>
        <w:pStyle w:val="Testo2"/>
      </w:pPr>
      <w:r>
        <w:t xml:space="preserve">La modalità di esame </w:t>
      </w:r>
      <w:r w:rsidRPr="00922030">
        <w:rPr>
          <w:u w:val="single"/>
        </w:rPr>
        <w:t>senza</w:t>
      </w:r>
      <w:r>
        <w:t xml:space="preserve"> lo sviluppo di project work prevede lo studio integrale del testo e dei materiali integrativi sopra indicati.</w:t>
      </w:r>
    </w:p>
    <w:p w14:paraId="09D05279" w14:textId="7AD5993A" w:rsidR="00922030" w:rsidRDefault="00922030" w:rsidP="00922030">
      <w:pPr>
        <w:pStyle w:val="Testo2"/>
      </w:pPr>
      <w:r>
        <w:t xml:space="preserve">La modalità d’esame </w:t>
      </w:r>
      <w:r w:rsidRPr="00922030">
        <w:rPr>
          <w:u w:val="single"/>
        </w:rPr>
        <w:t>con</w:t>
      </w:r>
      <w:r>
        <w:t xml:space="preserve"> lo sviluppo di project work prevede una selezione dei capitoli del testo e dei materiali integrativi che verrà esplicitata durante le lezioni.</w:t>
      </w:r>
    </w:p>
    <w:p w14:paraId="519BA090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6B86A8" w14:textId="01A8E0B6" w:rsidR="00360F2F" w:rsidRPr="00360F2F" w:rsidRDefault="008044CB" w:rsidP="00360F2F">
      <w:pPr>
        <w:pStyle w:val="Testo2"/>
      </w:pPr>
      <w:r>
        <w:t xml:space="preserve">Il corso </w:t>
      </w:r>
      <w:r w:rsidR="0098655F">
        <w:t>si articola in due parti: nella prima parte</w:t>
      </w:r>
      <w:r w:rsidR="00E73BA0">
        <w:t xml:space="preserve">, modulo base, </w:t>
      </w:r>
      <w:r w:rsidR="0098655F">
        <w:t xml:space="preserve">si sviluperanno i temi portanti della disciplina attraverso </w:t>
      </w:r>
      <w:r>
        <w:t xml:space="preserve">lezioni frontali, analisi </w:t>
      </w:r>
      <w:r w:rsidR="00360F2F" w:rsidRPr="00360F2F">
        <w:t xml:space="preserve">di casi aziendali, </w:t>
      </w:r>
      <w:r w:rsidR="0098655F">
        <w:t xml:space="preserve">esercitazioni in aula e </w:t>
      </w:r>
      <w:r w:rsidR="00360F2F" w:rsidRPr="00360F2F">
        <w:t xml:space="preserve">testimonianze di operatori del settore. </w:t>
      </w:r>
      <w:r w:rsidR="0098655F">
        <w:t xml:space="preserve">Nel modulo caratterizzante, focalizzato sulle tematiche del service design, verranno approfondite logiche e strumenti del processo di progettazione di un servizio che saranno poi applicate ad un progetto concreto.  </w:t>
      </w:r>
      <w:r w:rsidR="000A5619">
        <w:t>I dettagli di tal</w:t>
      </w:r>
      <w:r w:rsidR="0098655F">
        <w:t>e progetto</w:t>
      </w:r>
      <w:r w:rsidR="000A5619">
        <w:t xml:space="preserve"> verranno forniti in parte all’inizio delle lezioni</w:t>
      </w:r>
      <w:r w:rsidR="0098655F">
        <w:t xml:space="preserve"> del modulo</w:t>
      </w:r>
      <w:r w:rsidR="000A5619">
        <w:t>, in parte nel momento dell’assegnazione di compiti specifici.</w:t>
      </w:r>
    </w:p>
    <w:p w14:paraId="6A19CCC5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6489AA" w14:textId="0A05A48A" w:rsidR="00922030" w:rsidRDefault="00922030" w:rsidP="00922030">
      <w:pPr>
        <w:pStyle w:val="Testo2"/>
      </w:pPr>
      <w:r>
        <w:t>L’esame potrà essere sostenuto in due modalità alternative tra loro:</w:t>
      </w:r>
    </w:p>
    <w:p w14:paraId="3BD1EAF4" w14:textId="77777777" w:rsidR="0067621A" w:rsidRDefault="00922030" w:rsidP="0067621A">
      <w:pPr>
        <w:pStyle w:val="Testo2"/>
        <w:rPr>
          <w:rFonts w:ascii="Times New Roman" w:hAnsi="Times New Roman"/>
          <w:szCs w:val="18"/>
        </w:rPr>
      </w:pPr>
      <w:r>
        <w:t>-</w:t>
      </w:r>
      <w:r>
        <w:tab/>
      </w:r>
      <w:r w:rsidRPr="00922030">
        <w:rPr>
          <w:i/>
        </w:rPr>
        <w:t xml:space="preserve">Modalità </w:t>
      </w:r>
      <w:r w:rsidRPr="00922030">
        <w:rPr>
          <w:i/>
          <w:u w:val="single"/>
        </w:rPr>
        <w:t>senza</w:t>
      </w:r>
      <w:r w:rsidRPr="00922030">
        <w:rPr>
          <w:i/>
        </w:rPr>
        <w:t xml:space="preserve"> lo sviluppo di project work</w:t>
      </w:r>
      <w:r>
        <w:t xml:space="preserve">: </w:t>
      </w:r>
      <w:r w:rsidRPr="00922030">
        <w:t xml:space="preserve"> </w:t>
      </w:r>
      <w:r>
        <w:t>L’esame è proposto</w:t>
      </w:r>
      <w:r w:rsidRPr="00C170BC">
        <w:t xml:space="preserve"> in forma scritta</w:t>
      </w:r>
      <w:r>
        <w:t>,</w:t>
      </w:r>
      <w:r w:rsidRPr="00C170BC">
        <w:t xml:space="preserve"> </w:t>
      </w:r>
      <w:r w:rsidRPr="00922030">
        <w:t xml:space="preserve">articolata su 6 domande, puntuali e/o aperte, </w:t>
      </w:r>
      <w:r>
        <w:t xml:space="preserve"> che verteranno sui contenuti del libro di testo indicato in bibliografia e sui materiali integrativi presenti in Blackboard</w:t>
      </w:r>
      <w:r w:rsidRPr="00C170BC">
        <w:t xml:space="preserve">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  <w:r w:rsidR="0067621A" w:rsidRPr="00C170BC">
        <w:t>La lode verrà assegnata a discrezione delle docenti</w:t>
      </w:r>
      <w:r w:rsidR="0067621A">
        <w:t>.</w:t>
      </w:r>
    </w:p>
    <w:p w14:paraId="7223CFCE" w14:textId="668CF5A3" w:rsidR="00F03932" w:rsidRPr="00F03932" w:rsidRDefault="00922030" w:rsidP="00922030">
      <w:pPr>
        <w:pStyle w:val="Testo2"/>
        <w:rPr>
          <w:rFonts w:ascii="Times New Roman" w:hAnsi="Times New Roman"/>
          <w:szCs w:val="18"/>
        </w:rPr>
      </w:pPr>
      <w:r w:rsidRPr="00922030">
        <w:t>-</w:t>
      </w:r>
      <w:r w:rsidRPr="00922030">
        <w:tab/>
      </w:r>
      <w:r w:rsidRPr="00922030">
        <w:rPr>
          <w:i/>
        </w:rPr>
        <w:t xml:space="preserve">Modalità </w:t>
      </w:r>
      <w:r w:rsidRPr="00922030">
        <w:rPr>
          <w:i/>
          <w:u w:val="single"/>
        </w:rPr>
        <w:t>con</w:t>
      </w:r>
      <w:r w:rsidRPr="00922030">
        <w:rPr>
          <w:i/>
        </w:rPr>
        <w:t xml:space="preserve"> lo sviluppo di project work:</w:t>
      </w:r>
      <w:r>
        <w:rPr>
          <w:i/>
        </w:rPr>
        <w:t xml:space="preserve"> </w:t>
      </w:r>
      <w:r w:rsidR="00F03932" w:rsidRPr="00F03932">
        <w:rPr>
          <w:rFonts w:ascii="Times New Roman" w:hAnsi="Times New Roman"/>
          <w:szCs w:val="18"/>
        </w:rPr>
        <w:t>La valutazione finale</w:t>
      </w:r>
      <w:r w:rsidR="0067621A">
        <w:rPr>
          <w:rFonts w:ascii="Times New Roman" w:hAnsi="Times New Roman"/>
          <w:szCs w:val="18"/>
        </w:rPr>
        <w:t>, in questo caso,</w:t>
      </w:r>
      <w:r w:rsidR="00F03932" w:rsidRPr="00F03932">
        <w:rPr>
          <w:rFonts w:ascii="Times New Roman" w:hAnsi="Times New Roman"/>
          <w:szCs w:val="18"/>
        </w:rPr>
        <w:t xml:space="preserve"> è data dalla media pesata dei due voti (in 30/30) presi dallo studente rispettivamente </w:t>
      </w:r>
      <w:r>
        <w:rPr>
          <w:rFonts w:ascii="Times New Roman" w:hAnsi="Times New Roman"/>
          <w:szCs w:val="18"/>
        </w:rPr>
        <w:t>nella prova scritta e nel project work.</w:t>
      </w:r>
      <w:r w:rsidR="00F03932" w:rsidRPr="00F03932">
        <w:rPr>
          <w:rFonts w:ascii="Times New Roman" w:hAnsi="Times New Roman"/>
          <w:szCs w:val="18"/>
        </w:rPr>
        <w:t xml:space="preserve"> Nello specifico, il voto preso </w:t>
      </w:r>
      <w:r w:rsidR="0067621A">
        <w:rPr>
          <w:rFonts w:ascii="Times New Roman" w:hAnsi="Times New Roman"/>
          <w:szCs w:val="18"/>
        </w:rPr>
        <w:t xml:space="preserve">nella prova scritta, </w:t>
      </w:r>
      <w:r w:rsidR="0067621A" w:rsidRPr="0067621A">
        <w:rPr>
          <w:rFonts w:ascii="Times New Roman" w:hAnsi="Times New Roman"/>
          <w:szCs w:val="18"/>
        </w:rPr>
        <w:t xml:space="preserve">articolata su </w:t>
      </w:r>
      <w:r w:rsidR="0067621A">
        <w:rPr>
          <w:rFonts w:ascii="Times New Roman" w:hAnsi="Times New Roman"/>
          <w:szCs w:val="18"/>
        </w:rPr>
        <w:t>3</w:t>
      </w:r>
      <w:r w:rsidR="0067621A" w:rsidRPr="0067621A">
        <w:rPr>
          <w:rFonts w:ascii="Times New Roman" w:hAnsi="Times New Roman"/>
          <w:szCs w:val="18"/>
        </w:rPr>
        <w:t xml:space="preserve"> domande, puntuali e/o aperte, che verteranno sui contenuti</w:t>
      </w:r>
      <w:r w:rsidR="0067621A">
        <w:rPr>
          <w:rFonts w:ascii="Times New Roman" w:hAnsi="Times New Roman"/>
          <w:szCs w:val="18"/>
        </w:rPr>
        <w:t xml:space="preserve"> selezionati</w:t>
      </w:r>
      <w:r w:rsidR="0067621A" w:rsidRPr="0067621A">
        <w:rPr>
          <w:rFonts w:ascii="Times New Roman" w:hAnsi="Times New Roman"/>
          <w:szCs w:val="18"/>
        </w:rPr>
        <w:t xml:space="preserve"> del libro di testo indicato in bibliografia e sui materiali integrativi presenti in Blackboard</w:t>
      </w:r>
      <w:r w:rsidR="0067621A">
        <w:rPr>
          <w:rFonts w:ascii="Times New Roman" w:hAnsi="Times New Roman"/>
          <w:szCs w:val="18"/>
        </w:rPr>
        <w:t>,</w:t>
      </w:r>
      <w:r w:rsidR="00F03932" w:rsidRPr="00F03932">
        <w:rPr>
          <w:rFonts w:ascii="Times New Roman" w:hAnsi="Times New Roman"/>
          <w:szCs w:val="18"/>
        </w:rPr>
        <w:t xml:space="preserve"> è individuale e pesa per </w:t>
      </w:r>
      <w:r w:rsidR="003C65FD">
        <w:rPr>
          <w:rFonts w:ascii="Times New Roman" w:hAnsi="Times New Roman"/>
          <w:szCs w:val="18"/>
        </w:rPr>
        <w:t xml:space="preserve">il </w:t>
      </w:r>
      <w:r w:rsidR="006829DA">
        <w:rPr>
          <w:rFonts w:ascii="Times New Roman" w:hAnsi="Times New Roman"/>
          <w:szCs w:val="18"/>
        </w:rPr>
        <w:t>65</w:t>
      </w:r>
      <w:r w:rsidR="00F03932" w:rsidRPr="00F03932">
        <w:rPr>
          <w:rFonts w:ascii="Times New Roman" w:hAnsi="Times New Roman"/>
          <w:szCs w:val="18"/>
        </w:rPr>
        <w:t>% del voto finale</w:t>
      </w:r>
      <w:r w:rsidR="0067621A">
        <w:rPr>
          <w:rFonts w:ascii="Times New Roman" w:hAnsi="Times New Roman"/>
          <w:szCs w:val="18"/>
        </w:rPr>
        <w:t>;</w:t>
      </w:r>
      <w:r w:rsidR="00F03932" w:rsidRPr="00F03932">
        <w:rPr>
          <w:rFonts w:ascii="Times New Roman" w:hAnsi="Times New Roman"/>
          <w:szCs w:val="18"/>
        </w:rPr>
        <w:t xml:space="preserve"> il voto </w:t>
      </w:r>
      <w:r w:rsidR="0067621A">
        <w:rPr>
          <w:rFonts w:ascii="Times New Roman" w:hAnsi="Times New Roman"/>
          <w:szCs w:val="18"/>
        </w:rPr>
        <w:t xml:space="preserve">ottenuto nel project work che verrà sviluppato </w:t>
      </w:r>
      <w:r w:rsidR="00F03932" w:rsidRPr="00F03932">
        <w:rPr>
          <w:rFonts w:ascii="Times New Roman" w:hAnsi="Times New Roman"/>
          <w:szCs w:val="18"/>
        </w:rPr>
        <w:t xml:space="preserve">nel modulo </w:t>
      </w:r>
      <w:r w:rsidR="0067621A">
        <w:rPr>
          <w:rFonts w:ascii="Times New Roman" w:hAnsi="Times New Roman"/>
          <w:szCs w:val="18"/>
        </w:rPr>
        <w:t xml:space="preserve">di </w:t>
      </w:r>
      <w:r w:rsidR="003C65FD">
        <w:rPr>
          <w:rFonts w:ascii="Times New Roman" w:hAnsi="Times New Roman"/>
          <w:szCs w:val="18"/>
        </w:rPr>
        <w:t>S</w:t>
      </w:r>
      <w:r w:rsidR="00C6013A">
        <w:rPr>
          <w:rFonts w:ascii="Times New Roman" w:hAnsi="Times New Roman"/>
          <w:szCs w:val="18"/>
        </w:rPr>
        <w:t>e</w:t>
      </w:r>
      <w:r w:rsidR="003C65FD">
        <w:rPr>
          <w:rFonts w:ascii="Times New Roman" w:hAnsi="Times New Roman"/>
          <w:szCs w:val="18"/>
        </w:rPr>
        <w:t>rvice Design</w:t>
      </w:r>
      <w:r w:rsidR="0067621A">
        <w:rPr>
          <w:rFonts w:ascii="Times New Roman" w:hAnsi="Times New Roman"/>
          <w:szCs w:val="18"/>
        </w:rPr>
        <w:t>,</w:t>
      </w:r>
      <w:r w:rsidR="00F03932" w:rsidRPr="00F03932">
        <w:rPr>
          <w:rFonts w:ascii="Times New Roman" w:hAnsi="Times New Roman"/>
          <w:szCs w:val="18"/>
        </w:rPr>
        <w:t xml:space="preserve"> è un voto di gruppo e pesa per il </w:t>
      </w:r>
      <w:r w:rsidR="003C65FD">
        <w:rPr>
          <w:rFonts w:ascii="Times New Roman" w:hAnsi="Times New Roman"/>
          <w:szCs w:val="18"/>
        </w:rPr>
        <w:t>3</w:t>
      </w:r>
      <w:r w:rsidR="006829DA">
        <w:rPr>
          <w:rFonts w:ascii="Times New Roman" w:hAnsi="Times New Roman"/>
          <w:szCs w:val="18"/>
        </w:rPr>
        <w:t>5</w:t>
      </w:r>
      <w:r w:rsidR="00F03932" w:rsidRPr="00F03932">
        <w:rPr>
          <w:rFonts w:ascii="Times New Roman" w:hAnsi="Times New Roman"/>
          <w:szCs w:val="18"/>
        </w:rPr>
        <w:t>%</w:t>
      </w:r>
      <w:r w:rsidR="0067621A">
        <w:rPr>
          <w:rFonts w:ascii="Times New Roman" w:hAnsi="Times New Roman"/>
          <w:szCs w:val="18"/>
        </w:rPr>
        <w:t xml:space="preserve"> del voto finale</w:t>
      </w:r>
      <w:r w:rsidR="00F03932" w:rsidRPr="00F03932">
        <w:rPr>
          <w:rFonts w:ascii="Times New Roman" w:hAnsi="Times New Roman"/>
          <w:szCs w:val="18"/>
        </w:rPr>
        <w:t>.</w:t>
      </w:r>
      <w:r w:rsidR="00DE0081">
        <w:rPr>
          <w:rFonts w:ascii="Times New Roman" w:hAnsi="Times New Roman"/>
          <w:szCs w:val="18"/>
        </w:rPr>
        <w:t xml:space="preserve"> </w:t>
      </w:r>
    </w:p>
    <w:p w14:paraId="62E80AEB" w14:textId="4DB4A17D" w:rsidR="00F03932" w:rsidRPr="00F03932" w:rsidRDefault="0067621A" w:rsidP="00F03932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Nella prova scritta, a</w:t>
      </w:r>
      <w:r w:rsidR="00F03932" w:rsidRPr="00F03932">
        <w:rPr>
          <w:rFonts w:ascii="Times New Roman" w:hAnsi="Times New Roman"/>
          <w:szCs w:val="18"/>
        </w:rPr>
        <w:t xml:space="preserve">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0EB0CD1E" w14:textId="63952B5A" w:rsidR="00F03932" w:rsidRDefault="0067621A" w:rsidP="002A21D7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Il project</w:t>
      </w:r>
      <w:r w:rsidR="003C65FD">
        <w:rPr>
          <w:rFonts w:ascii="Times New Roman" w:hAnsi="Times New Roman"/>
          <w:szCs w:val="18"/>
        </w:rPr>
        <w:t xml:space="preserve"> work</w:t>
      </w:r>
      <w:r w:rsidR="00186DD8">
        <w:rPr>
          <w:rFonts w:ascii="Times New Roman" w:hAnsi="Times New Roman"/>
          <w:szCs w:val="18"/>
        </w:rPr>
        <w:t xml:space="preserve"> di gruppo, </w:t>
      </w:r>
      <w:r>
        <w:rPr>
          <w:rFonts w:ascii="Times New Roman" w:hAnsi="Times New Roman"/>
          <w:szCs w:val="18"/>
        </w:rPr>
        <w:t>sviluppato nel modulo di Service Design, ha la funzione di consentire allo studente l’applicazione pratica dei concetti appresi in aula. Il project dovrà essere realizzato</w:t>
      </w:r>
      <w:r w:rsidR="00B946AE">
        <w:rPr>
          <w:rFonts w:ascii="Times New Roman" w:hAnsi="Times New Roman"/>
          <w:szCs w:val="18"/>
        </w:rPr>
        <w:t xml:space="preserve"> e </w:t>
      </w:r>
      <w:r w:rsidR="007C17CC">
        <w:rPr>
          <w:rFonts w:ascii="Times New Roman" w:hAnsi="Times New Roman"/>
          <w:szCs w:val="18"/>
        </w:rPr>
        <w:t>consegna</w:t>
      </w:r>
      <w:r>
        <w:rPr>
          <w:rFonts w:ascii="Times New Roman" w:hAnsi="Times New Roman"/>
          <w:szCs w:val="18"/>
        </w:rPr>
        <w:t>to</w:t>
      </w:r>
      <w:r w:rsidR="001E4E22">
        <w:rPr>
          <w:rFonts w:ascii="Times New Roman" w:hAnsi="Times New Roman"/>
          <w:szCs w:val="18"/>
        </w:rPr>
        <w:t xml:space="preserve"> </w:t>
      </w:r>
      <w:r w:rsidR="00B946AE">
        <w:rPr>
          <w:rFonts w:ascii="Times New Roman" w:hAnsi="Times New Roman"/>
          <w:szCs w:val="18"/>
        </w:rPr>
        <w:t xml:space="preserve">entro il termine delle lezioni del laboratorio, </w:t>
      </w:r>
      <w:r w:rsidR="001E4E22">
        <w:rPr>
          <w:rFonts w:ascii="Times New Roman" w:hAnsi="Times New Roman"/>
          <w:szCs w:val="18"/>
        </w:rPr>
        <w:t>secondo le scadenze che verranno indicate in aula</w:t>
      </w:r>
      <w:r w:rsidR="001B2BBB">
        <w:rPr>
          <w:rFonts w:ascii="Times New Roman" w:hAnsi="Times New Roman"/>
          <w:szCs w:val="18"/>
        </w:rPr>
        <w:t xml:space="preserve"> durante le prime lezioni</w:t>
      </w:r>
      <w:r w:rsidR="001E4E22">
        <w:rPr>
          <w:rFonts w:ascii="Times New Roman" w:hAnsi="Times New Roman"/>
          <w:szCs w:val="18"/>
        </w:rPr>
        <w:t>.</w:t>
      </w:r>
    </w:p>
    <w:p w14:paraId="24A50E73" w14:textId="1E5ED97F" w:rsidR="001E6E04" w:rsidRDefault="00101DC3" w:rsidP="00FA693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Data la stretta coerenza tra i contenuti del </w:t>
      </w:r>
      <w:r w:rsidR="00B26399">
        <w:rPr>
          <w:rFonts w:ascii="Times New Roman" w:hAnsi="Times New Roman"/>
          <w:szCs w:val="18"/>
        </w:rPr>
        <w:t>modulo base</w:t>
      </w:r>
      <w:r>
        <w:rPr>
          <w:rFonts w:ascii="Times New Roman" w:hAnsi="Times New Roman"/>
          <w:szCs w:val="18"/>
        </w:rPr>
        <w:t xml:space="preserve"> e del laboratorio, </w:t>
      </w:r>
      <w:r w:rsidR="00AB4DB7">
        <w:rPr>
          <w:rFonts w:ascii="Times New Roman" w:hAnsi="Times New Roman"/>
          <w:szCs w:val="18"/>
        </w:rPr>
        <w:t xml:space="preserve">si consiglia vivamente </w:t>
      </w:r>
      <w:r w:rsidR="00AA4F58">
        <w:rPr>
          <w:rFonts w:ascii="Times New Roman" w:hAnsi="Times New Roman"/>
          <w:szCs w:val="18"/>
        </w:rPr>
        <w:t xml:space="preserve">di sostenere </w:t>
      </w:r>
      <w:r w:rsidR="0067621A">
        <w:rPr>
          <w:rFonts w:ascii="Times New Roman" w:hAnsi="Times New Roman"/>
          <w:szCs w:val="18"/>
        </w:rPr>
        <w:t>la prova</w:t>
      </w:r>
      <w:r w:rsidR="00AA4F58">
        <w:rPr>
          <w:rFonts w:ascii="Times New Roman" w:hAnsi="Times New Roman"/>
          <w:szCs w:val="18"/>
        </w:rPr>
        <w:t xml:space="preserve"> scritt</w:t>
      </w:r>
      <w:r w:rsidR="0067621A">
        <w:rPr>
          <w:rFonts w:ascii="Times New Roman" w:hAnsi="Times New Roman"/>
          <w:szCs w:val="18"/>
        </w:rPr>
        <w:t>a</w:t>
      </w:r>
      <w:r w:rsidR="00AA4F58">
        <w:rPr>
          <w:rFonts w:ascii="Times New Roman" w:hAnsi="Times New Roman"/>
          <w:szCs w:val="18"/>
        </w:rPr>
        <w:t xml:space="preserve"> </w:t>
      </w:r>
      <w:r w:rsidR="00392B4A">
        <w:rPr>
          <w:rFonts w:ascii="Times New Roman" w:hAnsi="Times New Roman"/>
          <w:szCs w:val="18"/>
        </w:rPr>
        <w:t xml:space="preserve">entro l’ultimo appello </w:t>
      </w:r>
      <w:r w:rsidR="00AA4F58">
        <w:rPr>
          <w:rFonts w:ascii="Times New Roman" w:hAnsi="Times New Roman"/>
          <w:szCs w:val="18"/>
        </w:rPr>
        <w:t>di febbraio</w:t>
      </w:r>
      <w:r w:rsidR="00392B4A">
        <w:rPr>
          <w:rFonts w:ascii="Times New Roman" w:hAnsi="Times New Roman"/>
          <w:szCs w:val="18"/>
        </w:rPr>
        <w:t>.</w:t>
      </w:r>
    </w:p>
    <w:p w14:paraId="2A220346" w14:textId="48B86068" w:rsidR="005A1BE1" w:rsidRDefault="0067621A" w:rsidP="002A21D7">
      <w:pPr>
        <w:pStyle w:val="Testo2"/>
        <w:rPr>
          <w:rFonts w:ascii="Times New Roman" w:hAnsi="Times New Roman"/>
          <w:szCs w:val="18"/>
        </w:rPr>
      </w:pPr>
      <w:r w:rsidRPr="00C170BC">
        <w:t>La lode verrà assegnata a discrezione delle docenti</w:t>
      </w:r>
      <w:r>
        <w:t>.</w:t>
      </w:r>
    </w:p>
    <w:p w14:paraId="21E0ECA4" w14:textId="7637E28E" w:rsidR="00360F2F" w:rsidRPr="000A5619" w:rsidRDefault="00360F2F" w:rsidP="00360F2F">
      <w:pPr>
        <w:spacing w:before="240" w:after="120" w:line="240" w:lineRule="exact"/>
        <w:rPr>
          <w:b/>
          <w:i/>
          <w:sz w:val="18"/>
        </w:rPr>
      </w:pPr>
      <w:r w:rsidRPr="000A5619">
        <w:rPr>
          <w:b/>
          <w:i/>
          <w:sz w:val="18"/>
        </w:rPr>
        <w:t>AVVERTENZE E PREREQUISITI</w:t>
      </w:r>
    </w:p>
    <w:p w14:paraId="4CE31077" w14:textId="77777777" w:rsidR="00360F2F" w:rsidRPr="000A5619" w:rsidRDefault="00360F2F" w:rsidP="00360F2F">
      <w:pPr>
        <w:pStyle w:val="Testo2"/>
      </w:pPr>
      <w:r w:rsidRPr="000A5619">
        <w:t>L’avvenuto superamento dell’esame di Marketing</w:t>
      </w:r>
      <w:r w:rsidR="00953D8E">
        <w:t xml:space="preserve"> o di esami dai contenuti assimilabili </w:t>
      </w:r>
      <w:r w:rsidRPr="000A5619">
        <w:t>ne</w:t>
      </w:r>
      <w:r w:rsidR="00953D8E">
        <w:t>l percorso di</w:t>
      </w:r>
      <w:r w:rsidRPr="000A5619">
        <w:t xml:space="preserve"> Laurea Triennale</w:t>
      </w:r>
      <w:r w:rsidR="00D7572C">
        <w:t xml:space="preserve"> o di Laurea Magistrale</w:t>
      </w:r>
      <w:r w:rsidRPr="000A5619">
        <w:t xml:space="preserve"> costituisce un prerequisito per l’accesso al corso.</w:t>
      </w:r>
    </w:p>
    <w:p w14:paraId="7601534B" w14:textId="77777777" w:rsidR="00AB0A4A" w:rsidRPr="00AB0A4A" w:rsidRDefault="00AB0A4A" w:rsidP="00AB0A4A">
      <w:pPr>
        <w:spacing w:before="240" w:after="120" w:line="240" w:lineRule="exact"/>
        <w:rPr>
          <w:b/>
          <w:i/>
          <w:caps/>
          <w:sz w:val="18"/>
        </w:rPr>
      </w:pPr>
      <w:r w:rsidRPr="00AB0A4A">
        <w:rPr>
          <w:b/>
          <w:i/>
          <w:caps/>
          <w:sz w:val="18"/>
        </w:rPr>
        <w:t xml:space="preserve">Orario e luogo di ricevimento degli studenti </w:t>
      </w:r>
    </w:p>
    <w:p w14:paraId="171B0641" w14:textId="4A1442D6" w:rsidR="00AB0A4A" w:rsidRPr="00AB0A4A" w:rsidRDefault="00AB0A4A" w:rsidP="003C65FD">
      <w:pPr>
        <w:pStyle w:val="Testo2"/>
        <w:rPr>
          <w:b/>
          <w:i/>
        </w:rPr>
      </w:pPr>
      <w:r w:rsidRPr="000A5619">
        <w:t>Nelle pagine personali dei docenti sono indicati gli orari di ricevimento e la modalità di richiesta tesi.</w:t>
      </w:r>
    </w:p>
    <w:sectPr w:rsidR="00AB0A4A" w:rsidRPr="00AB0A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1F"/>
    <w:multiLevelType w:val="hybridMultilevel"/>
    <w:tmpl w:val="A9EC4D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0F58"/>
    <w:multiLevelType w:val="hybridMultilevel"/>
    <w:tmpl w:val="0B564B6A"/>
    <w:lvl w:ilvl="0" w:tplc="C2582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0038"/>
    <w:multiLevelType w:val="hybridMultilevel"/>
    <w:tmpl w:val="80F49A30"/>
    <w:lvl w:ilvl="0" w:tplc="2E90A5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2067411152">
    <w:abstractNumId w:val="4"/>
  </w:num>
  <w:num w:numId="2" w16cid:durableId="44452436">
    <w:abstractNumId w:val="2"/>
  </w:num>
  <w:num w:numId="3" w16cid:durableId="308747587">
    <w:abstractNumId w:val="3"/>
  </w:num>
  <w:num w:numId="4" w16cid:durableId="1027877968">
    <w:abstractNumId w:val="1"/>
  </w:num>
  <w:num w:numId="5" w16cid:durableId="44650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05645"/>
    <w:rsid w:val="000510A6"/>
    <w:rsid w:val="000A5619"/>
    <w:rsid w:val="00101DC3"/>
    <w:rsid w:val="00152739"/>
    <w:rsid w:val="001556E9"/>
    <w:rsid w:val="00186DD8"/>
    <w:rsid w:val="00187B99"/>
    <w:rsid w:val="001B2BBB"/>
    <w:rsid w:val="001E4E22"/>
    <w:rsid w:val="001E6E04"/>
    <w:rsid w:val="002014DD"/>
    <w:rsid w:val="00216199"/>
    <w:rsid w:val="002A21D7"/>
    <w:rsid w:val="002A6269"/>
    <w:rsid w:val="002D5E17"/>
    <w:rsid w:val="002E2257"/>
    <w:rsid w:val="0030594A"/>
    <w:rsid w:val="0031704A"/>
    <w:rsid w:val="00336B80"/>
    <w:rsid w:val="00360F2F"/>
    <w:rsid w:val="00392B4A"/>
    <w:rsid w:val="003C65FD"/>
    <w:rsid w:val="00400483"/>
    <w:rsid w:val="004028B3"/>
    <w:rsid w:val="00491997"/>
    <w:rsid w:val="004C7190"/>
    <w:rsid w:val="004D1217"/>
    <w:rsid w:val="004D1675"/>
    <w:rsid w:val="004D6008"/>
    <w:rsid w:val="004E539E"/>
    <w:rsid w:val="0057200C"/>
    <w:rsid w:val="00581852"/>
    <w:rsid w:val="005A1BE1"/>
    <w:rsid w:val="005D0479"/>
    <w:rsid w:val="005E1830"/>
    <w:rsid w:val="00640794"/>
    <w:rsid w:val="0067621A"/>
    <w:rsid w:val="006829DA"/>
    <w:rsid w:val="006B35E2"/>
    <w:rsid w:val="006C052E"/>
    <w:rsid w:val="006E61D6"/>
    <w:rsid w:val="006F1772"/>
    <w:rsid w:val="007102CF"/>
    <w:rsid w:val="00724999"/>
    <w:rsid w:val="00727130"/>
    <w:rsid w:val="00757A70"/>
    <w:rsid w:val="00761521"/>
    <w:rsid w:val="007935D6"/>
    <w:rsid w:val="007C17CC"/>
    <w:rsid w:val="008044CB"/>
    <w:rsid w:val="00831FE6"/>
    <w:rsid w:val="008554FE"/>
    <w:rsid w:val="008942E7"/>
    <w:rsid w:val="008A1204"/>
    <w:rsid w:val="008E03A4"/>
    <w:rsid w:val="008E03BB"/>
    <w:rsid w:val="008F26B5"/>
    <w:rsid w:val="00900CCA"/>
    <w:rsid w:val="009127DE"/>
    <w:rsid w:val="00922030"/>
    <w:rsid w:val="009235A5"/>
    <w:rsid w:val="00924B77"/>
    <w:rsid w:val="0092524B"/>
    <w:rsid w:val="00940DA2"/>
    <w:rsid w:val="00953D8E"/>
    <w:rsid w:val="00965234"/>
    <w:rsid w:val="009721BB"/>
    <w:rsid w:val="009817AF"/>
    <w:rsid w:val="0098655F"/>
    <w:rsid w:val="00992033"/>
    <w:rsid w:val="00992971"/>
    <w:rsid w:val="009E055C"/>
    <w:rsid w:val="00A1659F"/>
    <w:rsid w:val="00A74F6F"/>
    <w:rsid w:val="00A82329"/>
    <w:rsid w:val="00AA4F58"/>
    <w:rsid w:val="00AA7A56"/>
    <w:rsid w:val="00AB0A4A"/>
    <w:rsid w:val="00AB0FE1"/>
    <w:rsid w:val="00AB4DB7"/>
    <w:rsid w:val="00AC002A"/>
    <w:rsid w:val="00AD055C"/>
    <w:rsid w:val="00AD7557"/>
    <w:rsid w:val="00AE43CB"/>
    <w:rsid w:val="00B26399"/>
    <w:rsid w:val="00B50C5D"/>
    <w:rsid w:val="00B51253"/>
    <w:rsid w:val="00B525CC"/>
    <w:rsid w:val="00B946AE"/>
    <w:rsid w:val="00BF2453"/>
    <w:rsid w:val="00C07B83"/>
    <w:rsid w:val="00C30906"/>
    <w:rsid w:val="00C54712"/>
    <w:rsid w:val="00C6013A"/>
    <w:rsid w:val="00C6668F"/>
    <w:rsid w:val="00C96DCE"/>
    <w:rsid w:val="00C97E21"/>
    <w:rsid w:val="00CC1CBC"/>
    <w:rsid w:val="00CD10A8"/>
    <w:rsid w:val="00D404F2"/>
    <w:rsid w:val="00D45BBC"/>
    <w:rsid w:val="00D7572C"/>
    <w:rsid w:val="00DA4C6D"/>
    <w:rsid w:val="00DD4E50"/>
    <w:rsid w:val="00DE0081"/>
    <w:rsid w:val="00DF69A0"/>
    <w:rsid w:val="00E43B96"/>
    <w:rsid w:val="00E607E6"/>
    <w:rsid w:val="00E73BA0"/>
    <w:rsid w:val="00F03932"/>
    <w:rsid w:val="00F20A82"/>
    <w:rsid w:val="00FA693E"/>
    <w:rsid w:val="00FD2A30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A26"/>
  <w15:chartTrackingRefBased/>
  <w15:docId w15:val="{B8A67213-C174-4955-BAF0-2B14EAE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character" w:customStyle="1" w:styleId="Testo2Carattere">
    <w:name w:val="Testo 2 Carattere"/>
    <w:link w:val="Testo2"/>
    <w:rsid w:val="00336B8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F2A7-D639-4586-859A-718F2EF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901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2003-03-27T19:42:00Z</cp:lastPrinted>
  <dcterms:created xsi:type="dcterms:W3CDTF">2023-05-29T15:19:00Z</dcterms:created>
  <dcterms:modified xsi:type="dcterms:W3CDTF">2023-05-29T15:20:00Z</dcterms:modified>
</cp:coreProperties>
</file>