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3ECF83" w14:textId="66C76C74" w:rsidR="00164C08" w:rsidRPr="00122E5F" w:rsidRDefault="00E4775C">
      <w:pPr>
        <w:pStyle w:val="Titolo1"/>
      </w:pPr>
      <w:r w:rsidRPr="00122E5F">
        <w:t>Media e reti sociali (con mod</w:t>
      </w:r>
      <w:r w:rsidR="00AC19F3">
        <w:t xml:space="preserve">ulo </w:t>
      </w:r>
      <w:r w:rsidRPr="00122E5F">
        <w:t xml:space="preserve">di </w:t>
      </w:r>
      <w:r w:rsidR="00AC19F3">
        <w:t>M</w:t>
      </w:r>
      <w:r w:rsidRPr="00122E5F">
        <w:t>etodi digitali per l’analisi)</w:t>
      </w:r>
    </w:p>
    <w:p w14:paraId="7F3ECF84" w14:textId="75131B7F" w:rsidR="00164C08" w:rsidRPr="00D85EC6" w:rsidRDefault="00AC19F3">
      <w:pPr>
        <w:pStyle w:val="Titolo2"/>
        <w:rPr>
          <w:szCs w:val="18"/>
        </w:rPr>
      </w:pPr>
      <w:r>
        <w:rPr>
          <w:szCs w:val="18"/>
        </w:rPr>
        <w:t xml:space="preserve">Prof. </w:t>
      </w:r>
      <w:r w:rsidR="00E97167">
        <w:rPr>
          <w:szCs w:val="18"/>
        </w:rPr>
        <w:t>Federico</w:t>
      </w:r>
      <w:r w:rsidR="00E4775C" w:rsidRPr="00D85EC6">
        <w:rPr>
          <w:szCs w:val="18"/>
        </w:rPr>
        <w:t xml:space="preserve"> </w:t>
      </w:r>
      <w:r w:rsidR="00E97167">
        <w:rPr>
          <w:szCs w:val="18"/>
        </w:rPr>
        <w:t>Bionda</w:t>
      </w:r>
      <w:r w:rsidR="00E4775C" w:rsidRPr="00D85EC6">
        <w:rPr>
          <w:szCs w:val="18"/>
        </w:rPr>
        <w:t xml:space="preserve">; </w:t>
      </w:r>
      <w:r>
        <w:rPr>
          <w:szCs w:val="18"/>
        </w:rPr>
        <w:t>Prof.ssa</w:t>
      </w:r>
      <w:r w:rsidR="00E4775C" w:rsidRPr="00D85EC6">
        <w:rPr>
          <w:szCs w:val="18"/>
        </w:rPr>
        <w:t xml:space="preserve"> Elisabetta Locatelli</w:t>
      </w:r>
    </w:p>
    <w:p w14:paraId="7F3ECF86" w14:textId="057DF9F5" w:rsidR="00164C08" w:rsidRPr="00D85EC6" w:rsidRDefault="00E4775C" w:rsidP="008E7595">
      <w:pPr>
        <w:spacing w:before="240" w:after="120"/>
        <w:rPr>
          <w:b/>
          <w:sz w:val="18"/>
          <w:szCs w:val="18"/>
        </w:rPr>
      </w:pPr>
      <w:r w:rsidRPr="00D85EC6">
        <w:rPr>
          <w:b/>
          <w:i/>
          <w:sz w:val="18"/>
          <w:szCs w:val="18"/>
        </w:rPr>
        <w:t>OBIETTIV</w:t>
      </w:r>
      <w:r w:rsidR="00B753A2">
        <w:rPr>
          <w:b/>
          <w:i/>
          <w:sz w:val="18"/>
          <w:szCs w:val="18"/>
        </w:rPr>
        <w:t>I</w:t>
      </w:r>
      <w:r w:rsidRPr="00D85EC6">
        <w:rPr>
          <w:b/>
          <w:i/>
          <w:sz w:val="18"/>
          <w:szCs w:val="18"/>
        </w:rPr>
        <w:t xml:space="preserve"> DEL CORSO E RISULTATI DI APPRENDIMENTO ATTESI</w:t>
      </w:r>
    </w:p>
    <w:p w14:paraId="761CD8DD" w14:textId="19059FDA" w:rsidR="00B753A2" w:rsidRPr="002672D6" w:rsidRDefault="00B753A2">
      <w:pPr>
        <w:rPr>
          <w:i/>
          <w:iCs/>
          <w:szCs w:val="20"/>
        </w:rPr>
      </w:pPr>
      <w:r w:rsidRPr="002672D6">
        <w:rPr>
          <w:i/>
          <w:iCs/>
          <w:szCs w:val="20"/>
        </w:rPr>
        <w:t>Obiettivi del corso</w:t>
      </w:r>
    </w:p>
    <w:p w14:paraId="20DCB820" w14:textId="13AF96AF" w:rsidR="00AA3259" w:rsidRDefault="00E4775C">
      <w:pPr>
        <w:rPr>
          <w:szCs w:val="20"/>
        </w:rPr>
      </w:pPr>
      <w:r w:rsidRPr="00122E5F">
        <w:rPr>
          <w:szCs w:val="20"/>
        </w:rPr>
        <w:t xml:space="preserve">Le piattaforme di social media hanno un impatto sempre più rilevante all’interno della società e dei processi comunicativi contemporanei. Il corso </w:t>
      </w:r>
      <w:r w:rsidR="00D936E6">
        <w:rPr>
          <w:szCs w:val="20"/>
        </w:rPr>
        <w:t>si propone di</w:t>
      </w:r>
      <w:r w:rsidRPr="00122E5F">
        <w:rPr>
          <w:szCs w:val="20"/>
        </w:rPr>
        <w:t xml:space="preserve"> presentare agli studenti </w:t>
      </w:r>
      <w:r w:rsidR="00CD68AB" w:rsidRPr="00122E5F">
        <w:rPr>
          <w:szCs w:val="20"/>
        </w:rPr>
        <w:t xml:space="preserve">i modelli teorici per comprendere </w:t>
      </w:r>
      <w:r w:rsidR="00D936E6">
        <w:rPr>
          <w:szCs w:val="20"/>
        </w:rPr>
        <w:t>le logiche</w:t>
      </w:r>
      <w:r w:rsidR="00CD68AB" w:rsidRPr="00122E5F">
        <w:rPr>
          <w:szCs w:val="20"/>
        </w:rPr>
        <w:t xml:space="preserve"> della </w:t>
      </w:r>
      <w:r w:rsidR="00CD68AB" w:rsidRPr="00122E5F">
        <w:rPr>
          <w:i/>
          <w:iCs/>
          <w:szCs w:val="20"/>
        </w:rPr>
        <w:t>platform society</w:t>
      </w:r>
      <w:r w:rsidR="00080ECB">
        <w:rPr>
          <w:szCs w:val="20"/>
        </w:rPr>
        <w:t xml:space="preserve"> e dei social media da un punto di vista sociologico</w:t>
      </w:r>
      <w:r w:rsidR="00D936E6">
        <w:rPr>
          <w:szCs w:val="20"/>
        </w:rPr>
        <w:t xml:space="preserve">. </w:t>
      </w:r>
      <w:r w:rsidR="00865549" w:rsidRPr="00122E5F">
        <w:rPr>
          <w:szCs w:val="20"/>
        </w:rPr>
        <w:t>Particolare attenzione sarà data al ruolo dei social media nella produzione e fruizione di informazioni legate al settore della salute</w:t>
      </w:r>
      <w:r w:rsidR="00CC2BC3">
        <w:rPr>
          <w:szCs w:val="20"/>
        </w:rPr>
        <w:t xml:space="preserve"> e del benessere</w:t>
      </w:r>
      <w:r w:rsidR="00865549" w:rsidRPr="00122E5F">
        <w:rPr>
          <w:szCs w:val="20"/>
        </w:rPr>
        <w:t xml:space="preserve">. </w:t>
      </w:r>
      <w:r w:rsidR="00F60960">
        <w:rPr>
          <w:szCs w:val="20"/>
        </w:rPr>
        <w:t xml:space="preserve">Il corso intende altresì </w:t>
      </w:r>
      <w:r w:rsidR="00441448">
        <w:rPr>
          <w:szCs w:val="20"/>
        </w:rPr>
        <w:t>introdurre</w:t>
      </w:r>
      <w:r w:rsidR="00F60960">
        <w:rPr>
          <w:szCs w:val="20"/>
        </w:rPr>
        <w:t xml:space="preserve"> all</w:t>
      </w:r>
      <w:r w:rsidR="00AA3259">
        <w:rPr>
          <w:szCs w:val="20"/>
        </w:rPr>
        <w:t>’utilizzo di questionari di indagine, all</w:t>
      </w:r>
      <w:r w:rsidR="0082778C">
        <w:rPr>
          <w:szCs w:val="20"/>
        </w:rPr>
        <w:t>’interpretazione dei risultati</w:t>
      </w:r>
      <w:r w:rsidR="00AA3259">
        <w:rPr>
          <w:szCs w:val="20"/>
        </w:rPr>
        <w:t xml:space="preserve"> mediante i principali strumenti di analisi statistica descrittiva e inferenziale e alla presentazione efficace dei dati</w:t>
      </w:r>
      <w:r w:rsidR="000554DA">
        <w:rPr>
          <w:szCs w:val="20"/>
        </w:rPr>
        <w:t>, sempre con un focus sul tema della salute</w:t>
      </w:r>
      <w:r w:rsidR="00230728">
        <w:rPr>
          <w:szCs w:val="20"/>
        </w:rPr>
        <w:t xml:space="preserve"> e del benessere</w:t>
      </w:r>
      <w:r w:rsidR="000554DA">
        <w:rPr>
          <w:szCs w:val="20"/>
        </w:rPr>
        <w:t xml:space="preserve">. </w:t>
      </w:r>
    </w:p>
    <w:p w14:paraId="13A2A8BA" w14:textId="71272A50" w:rsidR="000554DA" w:rsidRPr="000554DA" w:rsidRDefault="000554DA">
      <w:pPr>
        <w:rPr>
          <w:b/>
          <w:bCs/>
          <w:szCs w:val="20"/>
        </w:rPr>
      </w:pPr>
      <w:r w:rsidRPr="000554DA">
        <w:rPr>
          <w:b/>
          <w:bCs/>
          <w:szCs w:val="20"/>
        </w:rPr>
        <w:t>Risultati di apprendimento attesi</w:t>
      </w:r>
    </w:p>
    <w:p w14:paraId="7F3ECF89" w14:textId="212B427E" w:rsidR="00164C08" w:rsidRPr="00122E5F" w:rsidRDefault="00E4775C">
      <w:pPr>
        <w:rPr>
          <w:szCs w:val="20"/>
        </w:rPr>
      </w:pPr>
      <w:r w:rsidRPr="00122E5F">
        <w:rPr>
          <w:szCs w:val="20"/>
        </w:rPr>
        <w:t xml:space="preserve">Al termine del corso lo studente dovrà essere in grado di: </w:t>
      </w:r>
    </w:p>
    <w:p w14:paraId="184BD222" w14:textId="46DB1E5F" w:rsidR="00223EDD" w:rsidRDefault="00E4775C" w:rsidP="00223EDD">
      <w:pPr>
        <w:pStyle w:val="Paragrafoelenco"/>
        <w:numPr>
          <w:ilvl w:val="0"/>
          <w:numId w:val="1"/>
        </w:numPr>
        <w:rPr>
          <w:szCs w:val="20"/>
        </w:rPr>
      </w:pPr>
      <w:r w:rsidRPr="00A962EB">
        <w:rPr>
          <w:szCs w:val="20"/>
        </w:rPr>
        <w:t>Conoscenza e comprensione</w:t>
      </w:r>
      <w:r w:rsidR="008C0799" w:rsidRPr="00A962EB">
        <w:rPr>
          <w:szCs w:val="20"/>
        </w:rPr>
        <w:t xml:space="preserve">: </w:t>
      </w:r>
      <w:r w:rsidRPr="00A962EB">
        <w:rPr>
          <w:szCs w:val="20"/>
        </w:rPr>
        <w:t>comprendere le logiche delle piattaforme di social media; individuare le diverse modalità di comunicazione sui social media con particolare riferimento alla comunicazione istituzionale e alla comunicazione della salute</w:t>
      </w:r>
      <w:r w:rsidR="00C55F24">
        <w:rPr>
          <w:szCs w:val="20"/>
        </w:rPr>
        <w:t xml:space="preserve"> e </w:t>
      </w:r>
      <w:r w:rsidRPr="00A962EB">
        <w:rPr>
          <w:szCs w:val="20"/>
        </w:rPr>
        <w:t>del benessere</w:t>
      </w:r>
      <w:r w:rsidR="007A36AC" w:rsidRPr="00A962EB">
        <w:rPr>
          <w:szCs w:val="20"/>
        </w:rPr>
        <w:t xml:space="preserve">; </w:t>
      </w:r>
      <w:r w:rsidR="00CD24DA">
        <w:rPr>
          <w:szCs w:val="20"/>
        </w:rPr>
        <w:t>conoscere</w:t>
      </w:r>
      <w:r w:rsidR="00A962EB" w:rsidRPr="00A962EB">
        <w:rPr>
          <w:szCs w:val="20"/>
        </w:rPr>
        <w:t xml:space="preserve"> le logiche sottese alla creazione di questionari </w:t>
      </w:r>
      <w:r w:rsidR="00223EDD">
        <w:rPr>
          <w:szCs w:val="20"/>
        </w:rPr>
        <w:t xml:space="preserve">e </w:t>
      </w:r>
      <w:r w:rsidR="00CD24DA">
        <w:rPr>
          <w:szCs w:val="20"/>
        </w:rPr>
        <w:t xml:space="preserve">le principali </w:t>
      </w:r>
      <w:r w:rsidR="00816CB1">
        <w:rPr>
          <w:szCs w:val="20"/>
        </w:rPr>
        <w:t>tecniche di analisi di statistica descrittiva e inferenziale.</w:t>
      </w:r>
    </w:p>
    <w:p w14:paraId="51A06377" w14:textId="0CF1D9C0" w:rsidR="007269B6" w:rsidRPr="00223EDD" w:rsidRDefault="00CD24DA" w:rsidP="00223EDD">
      <w:pPr>
        <w:pStyle w:val="Paragrafoelenco"/>
        <w:numPr>
          <w:ilvl w:val="0"/>
          <w:numId w:val="1"/>
        </w:numPr>
        <w:rPr>
          <w:szCs w:val="20"/>
        </w:rPr>
      </w:pPr>
      <w:r w:rsidRPr="00223EDD">
        <w:rPr>
          <w:szCs w:val="20"/>
        </w:rPr>
        <w:t>Capacità di applicare</w:t>
      </w:r>
      <w:r w:rsidR="00E4775C" w:rsidRPr="00223EDD">
        <w:rPr>
          <w:szCs w:val="20"/>
        </w:rPr>
        <w:t xml:space="preserve"> </w:t>
      </w:r>
      <w:r w:rsidRPr="00223EDD">
        <w:rPr>
          <w:szCs w:val="20"/>
        </w:rPr>
        <w:t>conoscenza e comprensione</w:t>
      </w:r>
      <w:r w:rsidR="008C0799" w:rsidRPr="00223EDD">
        <w:rPr>
          <w:szCs w:val="20"/>
        </w:rPr>
        <w:t>:</w:t>
      </w:r>
      <w:r w:rsidR="00E4775C" w:rsidRPr="00223EDD">
        <w:rPr>
          <w:szCs w:val="20"/>
        </w:rPr>
        <w:t xml:space="preserve"> </w:t>
      </w:r>
      <w:r w:rsidR="008C0799" w:rsidRPr="00223EDD">
        <w:rPr>
          <w:szCs w:val="20"/>
        </w:rPr>
        <w:t>v</w:t>
      </w:r>
      <w:r w:rsidR="00E4775C" w:rsidRPr="00223EDD">
        <w:rPr>
          <w:szCs w:val="20"/>
        </w:rPr>
        <w:t xml:space="preserve">alutare l’azione delle logiche delle piattaforme sulle dinamiche di comunicazione; </w:t>
      </w:r>
      <w:r w:rsidR="007269B6" w:rsidRPr="00223EDD">
        <w:rPr>
          <w:szCs w:val="20"/>
        </w:rPr>
        <w:t xml:space="preserve">ideare e </w:t>
      </w:r>
      <w:r w:rsidR="00BC4962" w:rsidRPr="00223EDD">
        <w:rPr>
          <w:szCs w:val="20"/>
        </w:rPr>
        <w:t>produrre contenuti</w:t>
      </w:r>
      <w:r w:rsidR="008E57A0" w:rsidRPr="00223EDD">
        <w:rPr>
          <w:szCs w:val="20"/>
        </w:rPr>
        <w:t xml:space="preserve"> di comunicazione legati alla salute</w:t>
      </w:r>
      <w:r w:rsidR="00013B5C">
        <w:rPr>
          <w:szCs w:val="20"/>
        </w:rPr>
        <w:t xml:space="preserve"> e al benessere</w:t>
      </w:r>
      <w:r w:rsidR="00CD68FA" w:rsidRPr="00223EDD">
        <w:rPr>
          <w:szCs w:val="20"/>
        </w:rPr>
        <w:t xml:space="preserve">; </w:t>
      </w:r>
      <w:r w:rsidR="007269B6">
        <w:t xml:space="preserve">condurre in maniera autonoma un possibile field di ricerca, dalla fase iniziale di stesura di un questionario, alla sua analisi e presentazione. </w:t>
      </w:r>
    </w:p>
    <w:p w14:paraId="7F3ECF8C" w14:textId="509D01F5" w:rsidR="00164C08" w:rsidRPr="007269B6" w:rsidRDefault="00E4775C" w:rsidP="00E07811">
      <w:pPr>
        <w:pStyle w:val="Paragrafoelenco"/>
        <w:numPr>
          <w:ilvl w:val="0"/>
          <w:numId w:val="1"/>
        </w:numPr>
        <w:rPr>
          <w:szCs w:val="20"/>
        </w:rPr>
      </w:pPr>
      <w:r w:rsidRPr="007269B6">
        <w:rPr>
          <w:szCs w:val="20"/>
        </w:rPr>
        <w:t>Autonomia di Giudizio</w:t>
      </w:r>
      <w:r w:rsidR="008C0799" w:rsidRPr="007269B6">
        <w:rPr>
          <w:szCs w:val="20"/>
        </w:rPr>
        <w:t>: i</w:t>
      </w:r>
      <w:r w:rsidRPr="007269B6">
        <w:rPr>
          <w:szCs w:val="20"/>
        </w:rPr>
        <w:t>ndividuare e riconoscere le strutture motivazionali che sottendono l’uso e il consumo dei social media; valutare il rapporto risorse/obiettivi di una strategia comunicativa imperniata sui social medi</w:t>
      </w:r>
      <w:r w:rsidR="00BA36EA">
        <w:rPr>
          <w:szCs w:val="20"/>
        </w:rPr>
        <w:t xml:space="preserve">a; </w:t>
      </w:r>
      <w:r w:rsidR="00BA36EA">
        <w:t>sviluppare una concreta autonomia in grado di portare alla migliore scelta delle tipologie di domande necessarie per rispondere a specifici quesiti di ricerca (con focus specifico sulla salute</w:t>
      </w:r>
      <w:r w:rsidR="004D038E">
        <w:t xml:space="preserve"> e sul benessere</w:t>
      </w:r>
      <w:r w:rsidR="00BA36EA">
        <w:t>) e delle migliori analisi da condurre per la stesura di un report di ricerca</w:t>
      </w:r>
      <w:r w:rsidRPr="007269B6">
        <w:rPr>
          <w:szCs w:val="20"/>
        </w:rPr>
        <w:t xml:space="preserve">.  </w:t>
      </w:r>
    </w:p>
    <w:p w14:paraId="7F3ECF8D" w14:textId="3D34B7B5" w:rsidR="00164C08" w:rsidRPr="00122E5F" w:rsidRDefault="00E4775C">
      <w:pPr>
        <w:pStyle w:val="Paragrafoelenco"/>
        <w:numPr>
          <w:ilvl w:val="0"/>
          <w:numId w:val="1"/>
        </w:numPr>
        <w:rPr>
          <w:szCs w:val="20"/>
        </w:rPr>
      </w:pPr>
      <w:r w:rsidRPr="00122E5F">
        <w:rPr>
          <w:szCs w:val="20"/>
        </w:rPr>
        <w:t>Abilità Comunicative</w:t>
      </w:r>
      <w:r w:rsidR="008C0799" w:rsidRPr="00122E5F">
        <w:rPr>
          <w:szCs w:val="20"/>
        </w:rPr>
        <w:t xml:space="preserve">: </w:t>
      </w:r>
      <w:r w:rsidR="000D32E9" w:rsidRPr="00122E5F">
        <w:rPr>
          <w:szCs w:val="20"/>
        </w:rPr>
        <w:t>s</w:t>
      </w:r>
      <w:r w:rsidRPr="00122E5F">
        <w:rPr>
          <w:szCs w:val="20"/>
        </w:rPr>
        <w:t xml:space="preserve">trutturare una presentazione </w:t>
      </w:r>
      <w:r w:rsidR="00BA36EA">
        <w:rPr>
          <w:szCs w:val="20"/>
        </w:rPr>
        <w:t xml:space="preserve">efficace dei risultati di ricerca e </w:t>
      </w:r>
      <w:r w:rsidRPr="00122E5F">
        <w:rPr>
          <w:szCs w:val="20"/>
        </w:rPr>
        <w:t xml:space="preserve">di un progetto di comunicazione. </w:t>
      </w:r>
    </w:p>
    <w:p w14:paraId="7F3ECF8F" w14:textId="644C1D17" w:rsidR="00164C08" w:rsidRPr="00122E5F" w:rsidRDefault="00E4775C" w:rsidP="008E7595">
      <w:pPr>
        <w:pStyle w:val="Paragrafoelenco"/>
        <w:numPr>
          <w:ilvl w:val="0"/>
          <w:numId w:val="1"/>
        </w:numPr>
        <w:rPr>
          <w:szCs w:val="20"/>
        </w:rPr>
      </w:pPr>
      <w:r w:rsidRPr="00122E5F">
        <w:rPr>
          <w:szCs w:val="20"/>
        </w:rPr>
        <w:t>Capacità di Apprendimento</w:t>
      </w:r>
      <w:r w:rsidR="008C0799" w:rsidRPr="00122E5F">
        <w:rPr>
          <w:szCs w:val="20"/>
        </w:rPr>
        <w:t>: a</w:t>
      </w:r>
      <w:r w:rsidRPr="00122E5F">
        <w:rPr>
          <w:szCs w:val="20"/>
        </w:rPr>
        <w:t xml:space="preserve">cquisire una metodologia di lavoro legata alla gestione del flusso di lavoro, al </w:t>
      </w:r>
      <w:proofErr w:type="spellStart"/>
      <w:r w:rsidRPr="00C047DC">
        <w:rPr>
          <w:i/>
          <w:iCs/>
          <w:szCs w:val="20"/>
        </w:rPr>
        <w:t>problem</w:t>
      </w:r>
      <w:proofErr w:type="spellEnd"/>
      <w:r w:rsidRPr="00C047DC">
        <w:rPr>
          <w:i/>
          <w:iCs/>
          <w:szCs w:val="20"/>
        </w:rPr>
        <w:t xml:space="preserve"> solving</w:t>
      </w:r>
      <w:r w:rsidRPr="00122E5F">
        <w:rPr>
          <w:szCs w:val="20"/>
        </w:rPr>
        <w:t>, alla gestione delle informazioni e curiosità</w:t>
      </w:r>
      <w:r w:rsidR="00CF057F">
        <w:rPr>
          <w:szCs w:val="20"/>
        </w:rPr>
        <w:t xml:space="preserve">, a tecniche di ricerca utili per la tesi di laurea. </w:t>
      </w:r>
    </w:p>
    <w:p w14:paraId="7F3ECF90" w14:textId="0800911C" w:rsidR="00164C08" w:rsidRPr="00122E5F" w:rsidRDefault="00E4775C" w:rsidP="008E7595">
      <w:pPr>
        <w:spacing w:before="120"/>
        <w:rPr>
          <w:szCs w:val="20"/>
        </w:rPr>
      </w:pPr>
      <w:r w:rsidRPr="00122E5F">
        <w:rPr>
          <w:szCs w:val="20"/>
        </w:rPr>
        <w:lastRenderedPageBreak/>
        <w:t>In particolare</w:t>
      </w:r>
    </w:p>
    <w:p w14:paraId="7F3ECF91" w14:textId="582AEAB4" w:rsidR="00164C08" w:rsidRPr="00122E5F" w:rsidRDefault="00E4775C">
      <w:pPr>
        <w:rPr>
          <w:szCs w:val="20"/>
        </w:rPr>
      </w:pPr>
      <w:r w:rsidRPr="00122E5F">
        <w:rPr>
          <w:szCs w:val="20"/>
        </w:rPr>
        <w:t>Nel</w:t>
      </w:r>
      <w:r w:rsidR="002672D6">
        <w:rPr>
          <w:szCs w:val="20"/>
        </w:rPr>
        <w:t xml:space="preserve"> </w:t>
      </w:r>
      <w:r w:rsidR="002672D6" w:rsidRPr="002672D6">
        <w:rPr>
          <w:i/>
          <w:iCs/>
          <w:szCs w:val="20"/>
        </w:rPr>
        <w:t>Modulo</w:t>
      </w:r>
      <w:r w:rsidR="002672D6">
        <w:rPr>
          <w:szCs w:val="20"/>
        </w:rPr>
        <w:t xml:space="preserve"> </w:t>
      </w:r>
      <w:r w:rsidRPr="00122E5F">
        <w:rPr>
          <w:i/>
          <w:iCs/>
          <w:szCs w:val="20"/>
        </w:rPr>
        <w:t>1</w:t>
      </w:r>
      <w:r w:rsidRPr="00122E5F">
        <w:rPr>
          <w:szCs w:val="20"/>
        </w:rPr>
        <w:t xml:space="preserve"> (</w:t>
      </w:r>
      <w:r w:rsidR="00AC19F3">
        <w:rPr>
          <w:szCs w:val="20"/>
        </w:rPr>
        <w:t>Prof</w:t>
      </w:r>
      <w:r w:rsidR="001F3012">
        <w:rPr>
          <w:szCs w:val="20"/>
        </w:rPr>
        <w:t>.ssa</w:t>
      </w:r>
      <w:r w:rsidRPr="00122E5F">
        <w:rPr>
          <w:szCs w:val="20"/>
        </w:rPr>
        <w:t xml:space="preserve"> Elisabetta Locatelli)</w:t>
      </w:r>
    </w:p>
    <w:p w14:paraId="7F3ECF92" w14:textId="03424B04" w:rsidR="00164C08" w:rsidRPr="00122E5F" w:rsidRDefault="00E62288">
      <w:pPr>
        <w:rPr>
          <w:szCs w:val="20"/>
        </w:rPr>
      </w:pPr>
      <w:r>
        <w:rPr>
          <w:szCs w:val="20"/>
        </w:rPr>
        <w:t>Il modulo appro</w:t>
      </w:r>
      <w:r w:rsidR="004C203C">
        <w:rPr>
          <w:szCs w:val="20"/>
        </w:rPr>
        <w:t>fondirà</w:t>
      </w:r>
      <w:r w:rsidR="00E4775C" w:rsidRPr="00122E5F">
        <w:rPr>
          <w:szCs w:val="20"/>
        </w:rPr>
        <w:t xml:space="preserve"> le logiche dell’agire social</w:t>
      </w:r>
      <w:r w:rsidR="00C93EEF" w:rsidRPr="00122E5F">
        <w:rPr>
          <w:szCs w:val="20"/>
        </w:rPr>
        <w:t>e</w:t>
      </w:r>
      <w:r w:rsidR="00E4775C" w:rsidRPr="00122E5F">
        <w:rPr>
          <w:szCs w:val="20"/>
        </w:rPr>
        <w:t xml:space="preserve"> nei social media; </w:t>
      </w:r>
      <w:r w:rsidR="004C203C">
        <w:rPr>
          <w:szCs w:val="20"/>
        </w:rPr>
        <w:t>l</w:t>
      </w:r>
      <w:r w:rsidR="00E4775C" w:rsidRPr="00122E5F">
        <w:rPr>
          <w:szCs w:val="20"/>
        </w:rPr>
        <w:t xml:space="preserve">e logiche delle piattaforme di social media; </w:t>
      </w:r>
      <w:r w:rsidR="004C203C">
        <w:rPr>
          <w:szCs w:val="20"/>
        </w:rPr>
        <w:t>l</w:t>
      </w:r>
      <w:r w:rsidR="00E4775C" w:rsidRPr="00122E5F">
        <w:rPr>
          <w:szCs w:val="20"/>
        </w:rPr>
        <w:t xml:space="preserve">e dinamiche di influenza sociale nei social media. Il modulo approfondirà inoltre le logiche di comunicazione sui social media, in particolare legate all’ambito della comunicazione istituzionale e della comunicazione della salute e del benessere. </w:t>
      </w:r>
    </w:p>
    <w:p w14:paraId="7F3ECF94" w14:textId="13D21EAE" w:rsidR="00164C08" w:rsidRPr="00122E5F" w:rsidRDefault="00E4775C" w:rsidP="00122E5F">
      <w:pPr>
        <w:tabs>
          <w:tab w:val="left" w:pos="0"/>
        </w:tabs>
        <w:spacing w:before="120"/>
        <w:rPr>
          <w:szCs w:val="20"/>
        </w:rPr>
      </w:pPr>
      <w:r w:rsidRPr="00122E5F">
        <w:rPr>
          <w:szCs w:val="20"/>
        </w:rPr>
        <w:t>Nel</w:t>
      </w:r>
      <w:r w:rsidR="002672D6">
        <w:rPr>
          <w:szCs w:val="20"/>
        </w:rPr>
        <w:t xml:space="preserve"> </w:t>
      </w:r>
      <w:r w:rsidR="002672D6" w:rsidRPr="002672D6">
        <w:rPr>
          <w:i/>
          <w:iCs/>
          <w:szCs w:val="20"/>
        </w:rPr>
        <w:t>Modulo</w:t>
      </w:r>
      <w:r w:rsidR="002672D6">
        <w:rPr>
          <w:szCs w:val="20"/>
        </w:rPr>
        <w:t xml:space="preserve"> </w:t>
      </w:r>
      <w:r w:rsidRPr="00122E5F">
        <w:rPr>
          <w:i/>
          <w:iCs/>
          <w:szCs w:val="20"/>
        </w:rPr>
        <w:t>2</w:t>
      </w:r>
      <w:r w:rsidRPr="00122E5F">
        <w:rPr>
          <w:szCs w:val="20"/>
        </w:rPr>
        <w:t xml:space="preserve"> (</w:t>
      </w:r>
      <w:r w:rsidR="00AC19F3">
        <w:rPr>
          <w:szCs w:val="20"/>
        </w:rPr>
        <w:t>Prof</w:t>
      </w:r>
      <w:r w:rsidRPr="00122E5F">
        <w:rPr>
          <w:szCs w:val="20"/>
        </w:rPr>
        <w:t xml:space="preserve">. </w:t>
      </w:r>
      <w:r w:rsidR="00484E94">
        <w:rPr>
          <w:szCs w:val="20"/>
        </w:rPr>
        <w:t>Federico</w:t>
      </w:r>
      <w:r w:rsidRPr="00122E5F">
        <w:rPr>
          <w:szCs w:val="20"/>
        </w:rPr>
        <w:t xml:space="preserve"> </w:t>
      </w:r>
      <w:r w:rsidR="00484E94">
        <w:rPr>
          <w:szCs w:val="20"/>
        </w:rPr>
        <w:t>Bionda</w:t>
      </w:r>
      <w:r w:rsidRPr="00122E5F">
        <w:rPr>
          <w:szCs w:val="20"/>
        </w:rPr>
        <w:t xml:space="preserve">) </w:t>
      </w:r>
    </w:p>
    <w:p w14:paraId="36659F30" w14:textId="0C5D9561" w:rsidR="00E62288" w:rsidRDefault="00E62288" w:rsidP="00E62288">
      <w:pPr>
        <w:tabs>
          <w:tab w:val="left" w:pos="0"/>
        </w:tabs>
        <w:rPr>
          <w:szCs w:val="20"/>
        </w:rPr>
      </w:pPr>
      <w:r>
        <w:rPr>
          <w:szCs w:val="20"/>
        </w:rPr>
        <w:t xml:space="preserve">Il modulo introdurrà allo </w:t>
      </w:r>
      <w:r w:rsidRPr="00C8135B">
        <w:rPr>
          <w:szCs w:val="20"/>
        </w:rPr>
        <w:t>sviluppo autonomo di questionari, con focus specifico sul tema salute</w:t>
      </w:r>
      <w:r w:rsidR="00761DDE">
        <w:rPr>
          <w:szCs w:val="20"/>
        </w:rPr>
        <w:t xml:space="preserve"> e del benessere</w:t>
      </w:r>
      <w:r w:rsidRPr="00C8135B">
        <w:rPr>
          <w:szCs w:val="20"/>
        </w:rPr>
        <w:t>, a una generale comprensione delle differenti tipologie di domande e della loro sistematizzazione in un workflow coerente di indagin</w:t>
      </w:r>
      <w:r>
        <w:rPr>
          <w:szCs w:val="20"/>
        </w:rPr>
        <w:t xml:space="preserve">e. Si </w:t>
      </w:r>
      <w:r w:rsidRPr="00C8135B">
        <w:rPr>
          <w:szCs w:val="20"/>
        </w:rPr>
        <w:t>prefigge</w:t>
      </w:r>
      <w:r>
        <w:rPr>
          <w:szCs w:val="20"/>
        </w:rPr>
        <w:t>,</w:t>
      </w:r>
      <w:r w:rsidRPr="00C8135B">
        <w:rPr>
          <w:szCs w:val="20"/>
        </w:rPr>
        <w:t xml:space="preserve"> inoltre</w:t>
      </w:r>
      <w:r>
        <w:rPr>
          <w:szCs w:val="20"/>
        </w:rPr>
        <w:t>,</w:t>
      </w:r>
      <w:r w:rsidRPr="00C8135B">
        <w:rPr>
          <w:szCs w:val="20"/>
        </w:rPr>
        <w:t xml:space="preserve"> l’obiettivo di fornire i principali strumenti di analisi statistica descrittiva e inferenziale, da usare in report di ricerca dedicati. Lo studente acquisirà nella fase finale del corso un </w:t>
      </w:r>
      <w:proofErr w:type="spellStart"/>
      <w:r w:rsidRPr="00C8135B">
        <w:rPr>
          <w:szCs w:val="20"/>
        </w:rPr>
        <w:t>key</w:t>
      </w:r>
      <w:proofErr w:type="spellEnd"/>
      <w:r w:rsidRPr="00C8135B">
        <w:rPr>
          <w:szCs w:val="20"/>
        </w:rPr>
        <w:t xml:space="preserve"> frame di presentazione dei risultati, per comunicare in modo efficace un corposo numero di dati con infografiche puntuali</w:t>
      </w:r>
      <w:r w:rsidR="005B58AE">
        <w:rPr>
          <w:szCs w:val="20"/>
        </w:rPr>
        <w:t xml:space="preserve">. </w:t>
      </w:r>
    </w:p>
    <w:p w14:paraId="7F3ECF97" w14:textId="77777777" w:rsidR="00164C08" w:rsidRPr="00D85EC6" w:rsidRDefault="00E4775C">
      <w:pPr>
        <w:spacing w:before="240" w:after="120"/>
        <w:rPr>
          <w:b/>
          <w:sz w:val="18"/>
          <w:szCs w:val="18"/>
        </w:rPr>
      </w:pPr>
      <w:r w:rsidRPr="00D85EC6">
        <w:rPr>
          <w:b/>
          <w:i/>
          <w:sz w:val="18"/>
          <w:szCs w:val="18"/>
        </w:rPr>
        <w:t>PROGRAMMA DEL CORSO</w:t>
      </w:r>
    </w:p>
    <w:p w14:paraId="7F3ECF98" w14:textId="7C254796" w:rsidR="00164C08" w:rsidRPr="00122E5F" w:rsidRDefault="00E4775C">
      <w:pPr>
        <w:spacing w:before="120"/>
        <w:ind w:left="284" w:hanging="284"/>
        <w:rPr>
          <w:szCs w:val="20"/>
        </w:rPr>
      </w:pPr>
      <w:r w:rsidRPr="00122E5F">
        <w:rPr>
          <w:szCs w:val="20"/>
        </w:rPr>
        <w:t>Nel</w:t>
      </w:r>
      <w:r w:rsidR="002672D6">
        <w:rPr>
          <w:szCs w:val="20"/>
        </w:rPr>
        <w:t xml:space="preserve"> </w:t>
      </w:r>
      <w:r w:rsidR="002672D6" w:rsidRPr="002672D6">
        <w:rPr>
          <w:i/>
          <w:iCs/>
          <w:szCs w:val="20"/>
        </w:rPr>
        <w:t>Modulo</w:t>
      </w:r>
      <w:r w:rsidR="002672D6">
        <w:rPr>
          <w:szCs w:val="20"/>
        </w:rPr>
        <w:t xml:space="preserve"> </w:t>
      </w:r>
      <w:r w:rsidRPr="00122E5F">
        <w:rPr>
          <w:i/>
          <w:iCs/>
          <w:szCs w:val="20"/>
        </w:rPr>
        <w:t>1</w:t>
      </w:r>
      <w:r w:rsidRPr="00122E5F">
        <w:rPr>
          <w:szCs w:val="20"/>
        </w:rPr>
        <w:t xml:space="preserve"> (</w:t>
      </w:r>
      <w:r w:rsidR="00C62843">
        <w:rPr>
          <w:szCs w:val="20"/>
        </w:rPr>
        <w:t>Prof</w:t>
      </w:r>
      <w:r w:rsidR="001F3012">
        <w:rPr>
          <w:szCs w:val="20"/>
        </w:rPr>
        <w:t>.ssa</w:t>
      </w:r>
      <w:r w:rsidRPr="00122E5F">
        <w:rPr>
          <w:szCs w:val="20"/>
        </w:rPr>
        <w:t xml:space="preserve"> Elisabetta Locatelli)</w:t>
      </w:r>
    </w:p>
    <w:p w14:paraId="7F3ECF99" w14:textId="3904AAB8" w:rsidR="00164C08" w:rsidRPr="00122E5F" w:rsidRDefault="00380E21">
      <w:pPr>
        <w:rPr>
          <w:szCs w:val="20"/>
        </w:rPr>
      </w:pPr>
      <w:r>
        <w:rPr>
          <w:szCs w:val="20"/>
        </w:rPr>
        <w:t xml:space="preserve">Il modulo affronterà i seguenti argomenti: </w:t>
      </w:r>
    </w:p>
    <w:p w14:paraId="7F3ECF9A" w14:textId="287DBB45" w:rsidR="00164C08" w:rsidRDefault="00E4775C">
      <w:pPr>
        <w:pStyle w:val="Paragrafoelenco"/>
        <w:numPr>
          <w:ilvl w:val="0"/>
          <w:numId w:val="2"/>
        </w:numPr>
        <w:rPr>
          <w:szCs w:val="20"/>
        </w:rPr>
      </w:pPr>
      <w:r w:rsidRPr="00122E5F">
        <w:rPr>
          <w:szCs w:val="20"/>
        </w:rPr>
        <w:t>Social media:</w:t>
      </w:r>
      <w:r w:rsidR="00380E21">
        <w:rPr>
          <w:szCs w:val="20"/>
        </w:rPr>
        <w:t xml:space="preserve"> definizione,</w:t>
      </w:r>
      <w:r w:rsidRPr="00122E5F">
        <w:rPr>
          <w:szCs w:val="20"/>
        </w:rPr>
        <w:t xml:space="preserve"> scenario, logiche </w:t>
      </w:r>
      <w:r w:rsidR="00A56092">
        <w:rPr>
          <w:szCs w:val="20"/>
        </w:rPr>
        <w:t>dell’agire sociale,</w:t>
      </w:r>
      <w:r w:rsidRPr="00122E5F">
        <w:rPr>
          <w:szCs w:val="20"/>
        </w:rPr>
        <w:t xml:space="preserve"> </w:t>
      </w:r>
      <w:r w:rsidR="003D28DD" w:rsidRPr="00122E5F">
        <w:rPr>
          <w:szCs w:val="20"/>
        </w:rPr>
        <w:t>logiche</w:t>
      </w:r>
      <w:r w:rsidRPr="00122E5F">
        <w:rPr>
          <w:szCs w:val="20"/>
        </w:rPr>
        <w:t xml:space="preserve"> delle piattaforme. </w:t>
      </w:r>
    </w:p>
    <w:p w14:paraId="04CDEC9D" w14:textId="3C7191DE" w:rsidR="00A56092" w:rsidRPr="00122E5F" w:rsidRDefault="00A56092">
      <w:pPr>
        <w:pStyle w:val="Paragrafoelenco"/>
        <w:numPr>
          <w:ilvl w:val="0"/>
          <w:numId w:val="2"/>
        </w:numPr>
        <w:rPr>
          <w:szCs w:val="20"/>
        </w:rPr>
      </w:pPr>
      <w:r>
        <w:rPr>
          <w:szCs w:val="20"/>
        </w:rPr>
        <w:t xml:space="preserve">Il fenomeno della </w:t>
      </w:r>
      <w:proofErr w:type="spellStart"/>
      <w:r w:rsidRPr="005B58AE">
        <w:rPr>
          <w:i/>
          <w:iCs/>
          <w:szCs w:val="20"/>
        </w:rPr>
        <w:t>piattaformizzazione</w:t>
      </w:r>
      <w:proofErr w:type="spellEnd"/>
      <w:r>
        <w:rPr>
          <w:szCs w:val="20"/>
        </w:rPr>
        <w:t>: caratteristiche e conseguenze.</w:t>
      </w:r>
    </w:p>
    <w:p w14:paraId="7F3ECF9B" w14:textId="77777777" w:rsidR="00164C08" w:rsidRPr="00122E5F" w:rsidRDefault="00E4775C">
      <w:pPr>
        <w:pStyle w:val="Paragrafoelenco"/>
        <w:numPr>
          <w:ilvl w:val="0"/>
          <w:numId w:val="2"/>
        </w:numPr>
        <w:rPr>
          <w:szCs w:val="20"/>
        </w:rPr>
      </w:pPr>
      <w:r w:rsidRPr="00122E5F">
        <w:rPr>
          <w:szCs w:val="20"/>
        </w:rPr>
        <w:t xml:space="preserve">Social media e comunicazione della salute e del benessere: scenari e logiche. </w:t>
      </w:r>
    </w:p>
    <w:p w14:paraId="7F3ECF9C" w14:textId="77777777" w:rsidR="00164C08" w:rsidRPr="00122E5F" w:rsidRDefault="00E4775C">
      <w:pPr>
        <w:pStyle w:val="Paragrafoelenco"/>
        <w:numPr>
          <w:ilvl w:val="0"/>
          <w:numId w:val="2"/>
        </w:numPr>
        <w:rPr>
          <w:szCs w:val="20"/>
        </w:rPr>
      </w:pPr>
      <w:r w:rsidRPr="00122E5F">
        <w:rPr>
          <w:szCs w:val="20"/>
        </w:rPr>
        <w:t xml:space="preserve">Social media e processi di influenza sociale: teorie e modelli. </w:t>
      </w:r>
    </w:p>
    <w:p w14:paraId="7F3ECF9E" w14:textId="35A26E62" w:rsidR="00164C08" w:rsidRPr="00122E5F" w:rsidRDefault="00BE62F1" w:rsidP="008E7595">
      <w:pPr>
        <w:pStyle w:val="Paragrafoelenco"/>
        <w:numPr>
          <w:ilvl w:val="0"/>
          <w:numId w:val="2"/>
        </w:numPr>
        <w:rPr>
          <w:szCs w:val="20"/>
        </w:rPr>
      </w:pPr>
      <w:r w:rsidRPr="00122E5F">
        <w:rPr>
          <w:szCs w:val="20"/>
        </w:rPr>
        <w:t>Sviluppo contenuti</w:t>
      </w:r>
      <w:r w:rsidR="00991960" w:rsidRPr="00122E5F">
        <w:rPr>
          <w:szCs w:val="20"/>
        </w:rPr>
        <w:t xml:space="preserve"> per i social media</w:t>
      </w:r>
      <w:r w:rsidR="00E4775C" w:rsidRPr="00122E5F">
        <w:rPr>
          <w:szCs w:val="20"/>
        </w:rPr>
        <w:t xml:space="preserve">  </w:t>
      </w:r>
    </w:p>
    <w:p w14:paraId="7F3ECFA1" w14:textId="19ADE2F1" w:rsidR="00164C08" w:rsidRPr="00122E5F" w:rsidRDefault="00E4775C" w:rsidP="00122E5F">
      <w:pPr>
        <w:spacing w:before="120"/>
        <w:rPr>
          <w:szCs w:val="20"/>
        </w:rPr>
      </w:pPr>
      <w:r w:rsidRPr="00122E5F">
        <w:rPr>
          <w:szCs w:val="20"/>
        </w:rPr>
        <w:t>Nella prima parte verranno presentati e discussi progetti di comunicazione di rilievo</w:t>
      </w:r>
      <w:r w:rsidR="00F25A84" w:rsidRPr="00122E5F">
        <w:rPr>
          <w:szCs w:val="20"/>
        </w:rPr>
        <w:t xml:space="preserve"> attraverso la presenza di ospiti</w:t>
      </w:r>
      <w:r w:rsidRPr="00122E5F">
        <w:rPr>
          <w:szCs w:val="20"/>
        </w:rPr>
        <w:t xml:space="preserve">. La didattica si avvarrà inoltre di progetti. </w:t>
      </w:r>
    </w:p>
    <w:p w14:paraId="7F3ECFA2" w14:textId="103E601F" w:rsidR="00164C08" w:rsidRPr="00122E5F" w:rsidRDefault="00E4775C">
      <w:pPr>
        <w:spacing w:before="120"/>
        <w:rPr>
          <w:szCs w:val="20"/>
        </w:rPr>
      </w:pPr>
      <w:r w:rsidRPr="00122E5F">
        <w:rPr>
          <w:szCs w:val="20"/>
        </w:rPr>
        <w:t>Nel</w:t>
      </w:r>
      <w:r w:rsidR="002672D6">
        <w:rPr>
          <w:szCs w:val="20"/>
        </w:rPr>
        <w:t xml:space="preserve"> </w:t>
      </w:r>
      <w:r w:rsidR="002672D6" w:rsidRPr="002672D6">
        <w:rPr>
          <w:i/>
          <w:iCs/>
          <w:szCs w:val="20"/>
        </w:rPr>
        <w:t>Modulo</w:t>
      </w:r>
      <w:r w:rsidR="002672D6">
        <w:rPr>
          <w:szCs w:val="20"/>
        </w:rPr>
        <w:t xml:space="preserve"> </w:t>
      </w:r>
      <w:r w:rsidRPr="00122E5F">
        <w:rPr>
          <w:i/>
          <w:iCs/>
          <w:szCs w:val="20"/>
        </w:rPr>
        <w:t>2</w:t>
      </w:r>
      <w:r w:rsidRPr="00122E5F">
        <w:rPr>
          <w:i/>
          <w:szCs w:val="20"/>
        </w:rPr>
        <w:t xml:space="preserve"> </w:t>
      </w:r>
      <w:r w:rsidRPr="00122E5F">
        <w:rPr>
          <w:szCs w:val="20"/>
        </w:rPr>
        <w:t>(</w:t>
      </w:r>
      <w:r w:rsidR="00C62843">
        <w:rPr>
          <w:szCs w:val="20"/>
        </w:rPr>
        <w:t>Prof</w:t>
      </w:r>
      <w:r w:rsidR="001F3012">
        <w:rPr>
          <w:szCs w:val="20"/>
        </w:rPr>
        <w:t>.</w:t>
      </w:r>
      <w:r w:rsidRPr="00122E5F">
        <w:rPr>
          <w:szCs w:val="20"/>
        </w:rPr>
        <w:t xml:space="preserve"> </w:t>
      </w:r>
      <w:r w:rsidR="00CD3EBE">
        <w:rPr>
          <w:szCs w:val="20"/>
        </w:rPr>
        <w:t>Federico</w:t>
      </w:r>
      <w:r w:rsidRPr="00122E5F">
        <w:rPr>
          <w:szCs w:val="20"/>
        </w:rPr>
        <w:t xml:space="preserve"> </w:t>
      </w:r>
      <w:r w:rsidR="00CD3EBE">
        <w:rPr>
          <w:szCs w:val="20"/>
        </w:rPr>
        <w:t>Bionda</w:t>
      </w:r>
      <w:r w:rsidRPr="00122E5F">
        <w:rPr>
          <w:szCs w:val="20"/>
        </w:rPr>
        <w:t>)</w:t>
      </w:r>
    </w:p>
    <w:p w14:paraId="7F3ECFA6" w14:textId="0E72D67F" w:rsidR="00164C08" w:rsidRDefault="00D43216" w:rsidP="008E7595">
      <w:pPr>
        <w:tabs>
          <w:tab w:val="left" w:pos="0"/>
        </w:tabs>
        <w:rPr>
          <w:szCs w:val="20"/>
        </w:rPr>
      </w:pPr>
      <w:r>
        <w:rPr>
          <w:szCs w:val="20"/>
        </w:rPr>
        <w:t xml:space="preserve">Il modulo affronterà i seguenti temi: </w:t>
      </w:r>
    </w:p>
    <w:p w14:paraId="780AD162" w14:textId="68AF3A46" w:rsidR="00D43216" w:rsidRDefault="00D43216" w:rsidP="00D43216">
      <w:pPr>
        <w:pStyle w:val="Paragrafoelenco"/>
        <w:numPr>
          <w:ilvl w:val="0"/>
          <w:numId w:val="5"/>
        </w:numPr>
        <w:tabs>
          <w:tab w:val="left" w:pos="0"/>
        </w:tabs>
        <w:rPr>
          <w:szCs w:val="20"/>
        </w:rPr>
      </w:pPr>
      <w:r>
        <w:rPr>
          <w:szCs w:val="20"/>
        </w:rPr>
        <w:t xml:space="preserve">Introduzione al set-up di questionari con </w:t>
      </w:r>
      <w:proofErr w:type="spellStart"/>
      <w:r>
        <w:rPr>
          <w:szCs w:val="20"/>
        </w:rPr>
        <w:t>Surveygizmo</w:t>
      </w:r>
      <w:proofErr w:type="spellEnd"/>
      <w:r>
        <w:rPr>
          <w:szCs w:val="20"/>
        </w:rPr>
        <w:t>: tipologia di domande, set-up avanzati</w:t>
      </w:r>
      <w:r w:rsidR="00297A4C">
        <w:rPr>
          <w:szCs w:val="20"/>
        </w:rPr>
        <w:t>.</w:t>
      </w:r>
    </w:p>
    <w:p w14:paraId="2F0D6BEC" w14:textId="5F178CDA" w:rsidR="00D43216" w:rsidRDefault="00297A4C" w:rsidP="00D43216">
      <w:pPr>
        <w:pStyle w:val="Paragrafoelenco"/>
        <w:numPr>
          <w:ilvl w:val="0"/>
          <w:numId w:val="5"/>
        </w:numPr>
        <w:tabs>
          <w:tab w:val="left" w:pos="0"/>
        </w:tabs>
        <w:rPr>
          <w:szCs w:val="20"/>
        </w:rPr>
      </w:pPr>
      <w:r>
        <w:rPr>
          <w:szCs w:val="20"/>
        </w:rPr>
        <w:t xml:space="preserve">Analisi statistiche con </w:t>
      </w:r>
      <w:r w:rsidR="0042108D">
        <w:rPr>
          <w:szCs w:val="20"/>
        </w:rPr>
        <w:t>software open source</w:t>
      </w:r>
      <w:r>
        <w:rPr>
          <w:szCs w:val="20"/>
        </w:rPr>
        <w:t xml:space="preserve">: </w:t>
      </w:r>
      <w:r w:rsidR="00646A30">
        <w:rPr>
          <w:szCs w:val="20"/>
        </w:rPr>
        <w:t>importazione dei dati;</w:t>
      </w:r>
      <w:r>
        <w:rPr>
          <w:szCs w:val="20"/>
        </w:rPr>
        <w:t xml:space="preserve"> tipologia di variabili (nominali, ordinali, scala); insiemi a risposta multipla; tabelle personalizzate; test di normalità; correlazione e regressione.</w:t>
      </w:r>
    </w:p>
    <w:p w14:paraId="126844C3" w14:textId="114A1C0F" w:rsidR="00297A4C" w:rsidRPr="00D43216" w:rsidRDefault="00C54D0E" w:rsidP="00D43216">
      <w:pPr>
        <w:pStyle w:val="Paragrafoelenco"/>
        <w:numPr>
          <w:ilvl w:val="0"/>
          <w:numId w:val="5"/>
        </w:numPr>
        <w:tabs>
          <w:tab w:val="left" w:pos="0"/>
        </w:tabs>
        <w:rPr>
          <w:szCs w:val="20"/>
        </w:rPr>
      </w:pPr>
      <w:r>
        <w:rPr>
          <w:szCs w:val="20"/>
        </w:rPr>
        <w:t>Presentazione</w:t>
      </w:r>
      <w:r w:rsidR="00297A4C">
        <w:rPr>
          <w:szCs w:val="20"/>
        </w:rPr>
        <w:t xml:space="preserve"> e organizzazione dei risultati di analisi.</w:t>
      </w:r>
    </w:p>
    <w:p w14:paraId="7F3ECFA7" w14:textId="47868F5F" w:rsidR="00164C08" w:rsidRPr="00D85EC6" w:rsidRDefault="00E4775C">
      <w:pPr>
        <w:spacing w:before="240" w:after="120" w:line="220" w:lineRule="exact"/>
        <w:rPr>
          <w:b/>
          <w:i/>
          <w:sz w:val="18"/>
          <w:szCs w:val="18"/>
        </w:rPr>
      </w:pPr>
      <w:r w:rsidRPr="00D85EC6">
        <w:rPr>
          <w:b/>
          <w:i/>
          <w:sz w:val="18"/>
          <w:szCs w:val="18"/>
        </w:rPr>
        <w:lastRenderedPageBreak/>
        <w:t>BIBLIOGRAFIA</w:t>
      </w:r>
      <w:r w:rsidR="000A541F">
        <w:rPr>
          <w:rStyle w:val="Rimandonotaapidipagina"/>
          <w:b/>
          <w:i/>
          <w:sz w:val="18"/>
          <w:szCs w:val="18"/>
        </w:rPr>
        <w:footnoteReference w:id="1"/>
      </w:r>
    </w:p>
    <w:p w14:paraId="7F3ECFA9" w14:textId="2EB8B018" w:rsidR="00164C08" w:rsidRDefault="002672D6" w:rsidP="008E7595">
      <w:pPr>
        <w:pStyle w:val="Testo1"/>
        <w:rPr>
          <w:szCs w:val="18"/>
        </w:rPr>
      </w:pPr>
      <w:r>
        <w:rPr>
          <w:i/>
          <w:iCs/>
          <w:szCs w:val="18"/>
        </w:rPr>
        <w:t>Modulo</w:t>
      </w:r>
      <w:r w:rsidR="00E4775C" w:rsidRPr="00D85EC6">
        <w:rPr>
          <w:i/>
          <w:iCs/>
          <w:szCs w:val="18"/>
        </w:rPr>
        <w:t xml:space="preserve"> 1</w:t>
      </w:r>
      <w:r w:rsidR="00E4775C" w:rsidRPr="00D85EC6">
        <w:rPr>
          <w:szCs w:val="18"/>
        </w:rPr>
        <w:t xml:space="preserve"> (</w:t>
      </w:r>
      <w:r w:rsidR="00C62843">
        <w:rPr>
          <w:szCs w:val="18"/>
        </w:rPr>
        <w:t>prof</w:t>
      </w:r>
      <w:r w:rsidR="00E4775C" w:rsidRPr="00D85EC6">
        <w:rPr>
          <w:szCs w:val="18"/>
        </w:rPr>
        <w:t>.ssa Elisabetta Locatelli):</w:t>
      </w:r>
    </w:p>
    <w:p w14:paraId="15BB2425" w14:textId="715F9EC0" w:rsidR="00C859F2" w:rsidRPr="00C859F2" w:rsidRDefault="00C859F2" w:rsidP="008E7595">
      <w:pPr>
        <w:pStyle w:val="Testo1"/>
        <w:rPr>
          <w:szCs w:val="18"/>
        </w:rPr>
      </w:pPr>
      <w:r>
        <w:rPr>
          <w:szCs w:val="18"/>
        </w:rPr>
        <w:t xml:space="preserve">Slides e materiale del corso utilizzato a lezione e caricato su </w:t>
      </w:r>
      <w:proofErr w:type="spellStart"/>
      <w:r>
        <w:rPr>
          <w:szCs w:val="18"/>
        </w:rPr>
        <w:t>Blackboard</w:t>
      </w:r>
      <w:proofErr w:type="spellEnd"/>
      <w:r>
        <w:rPr>
          <w:szCs w:val="18"/>
        </w:rPr>
        <w:t>.</w:t>
      </w:r>
    </w:p>
    <w:p w14:paraId="7F3ECFAA" w14:textId="00DD5364" w:rsidR="00164C08" w:rsidRPr="00D85EC6" w:rsidRDefault="008E7595" w:rsidP="008E7595">
      <w:pPr>
        <w:pStyle w:val="Testo1"/>
        <w:spacing w:before="120"/>
        <w:rPr>
          <w:szCs w:val="18"/>
          <w:lang w:val="en-US"/>
        </w:rPr>
      </w:pPr>
      <w:proofErr w:type="spellStart"/>
      <w:r w:rsidRPr="00C859F2">
        <w:rPr>
          <w:smallCaps/>
          <w:szCs w:val="18"/>
        </w:rPr>
        <w:t>Cotter</w:t>
      </w:r>
      <w:proofErr w:type="spellEnd"/>
      <w:r w:rsidRPr="00C859F2">
        <w:rPr>
          <w:smallCaps/>
          <w:szCs w:val="18"/>
        </w:rPr>
        <w:t>,</w:t>
      </w:r>
      <w:r w:rsidR="00E4775C" w:rsidRPr="00C859F2">
        <w:rPr>
          <w:szCs w:val="18"/>
        </w:rPr>
        <w:t xml:space="preserve"> </w:t>
      </w:r>
      <w:r w:rsidR="002F5444" w:rsidRPr="00C859F2">
        <w:rPr>
          <w:szCs w:val="18"/>
        </w:rPr>
        <w:t xml:space="preserve">K. </w:t>
      </w:r>
      <w:r w:rsidR="008C28D0" w:rsidRPr="00C859F2">
        <w:rPr>
          <w:szCs w:val="18"/>
        </w:rPr>
        <w:t xml:space="preserve">(2019). </w:t>
      </w:r>
      <w:r w:rsidR="00E4775C" w:rsidRPr="008C28D0">
        <w:rPr>
          <w:iCs/>
          <w:szCs w:val="18"/>
          <w:lang w:val="en-US"/>
        </w:rPr>
        <w:t>Playing the visibility game: How digital influencers and algorithms negotiate influence on Instagram.</w:t>
      </w:r>
      <w:r w:rsidR="00E4775C" w:rsidRPr="00D85EC6">
        <w:rPr>
          <w:szCs w:val="18"/>
          <w:lang w:val="en-US"/>
        </w:rPr>
        <w:t xml:space="preserve"> </w:t>
      </w:r>
      <w:r w:rsidR="00E4775C" w:rsidRPr="008C28D0">
        <w:rPr>
          <w:i/>
          <w:iCs/>
          <w:szCs w:val="18"/>
          <w:lang w:val="en-US"/>
        </w:rPr>
        <w:t>New Media &amp; Society</w:t>
      </w:r>
      <w:r w:rsidR="00575E1F" w:rsidRPr="00D85EC6">
        <w:rPr>
          <w:szCs w:val="18"/>
          <w:lang w:val="en-US"/>
        </w:rPr>
        <w:t>,</w:t>
      </w:r>
      <w:r w:rsidR="00E4775C" w:rsidRPr="00D85EC6">
        <w:rPr>
          <w:szCs w:val="18"/>
          <w:lang w:val="en-US"/>
        </w:rPr>
        <w:t xml:space="preserve"> 21</w:t>
      </w:r>
      <w:r w:rsidR="00E4775C" w:rsidRPr="00D85EC6">
        <w:rPr>
          <w:i/>
          <w:szCs w:val="18"/>
          <w:lang w:val="en-US"/>
        </w:rPr>
        <w:t>(4)</w:t>
      </w:r>
      <w:r w:rsidR="00E4775C" w:rsidRPr="00D85EC6">
        <w:rPr>
          <w:szCs w:val="18"/>
          <w:lang w:val="en-US"/>
        </w:rPr>
        <w:t xml:space="preserve">, pp. 895-913. </w:t>
      </w:r>
    </w:p>
    <w:p w14:paraId="633A874A" w14:textId="097FED9D" w:rsidR="00C122E5" w:rsidRPr="00C122E5" w:rsidRDefault="00C122E5" w:rsidP="00C122E5">
      <w:pPr>
        <w:pStyle w:val="Testo1"/>
        <w:rPr>
          <w:szCs w:val="18"/>
          <w:lang w:val="en-US"/>
        </w:rPr>
      </w:pPr>
      <w:proofErr w:type="spellStart"/>
      <w:r w:rsidRPr="00C122E5">
        <w:rPr>
          <w:smallCaps/>
          <w:szCs w:val="18"/>
          <w:lang w:val="en-US"/>
        </w:rPr>
        <w:t>Deema</w:t>
      </w:r>
      <w:proofErr w:type="spellEnd"/>
      <w:r w:rsidRPr="00C122E5">
        <w:rPr>
          <w:smallCaps/>
          <w:szCs w:val="18"/>
          <w:lang w:val="en-US"/>
        </w:rPr>
        <w:t xml:space="preserve">, </w:t>
      </w:r>
      <w:r w:rsidR="008C28D0">
        <w:rPr>
          <w:smallCaps/>
          <w:szCs w:val="18"/>
          <w:lang w:val="en-US"/>
        </w:rPr>
        <w:t xml:space="preserve">F., </w:t>
      </w:r>
      <w:r w:rsidRPr="00C122E5">
        <w:rPr>
          <w:smallCaps/>
          <w:szCs w:val="18"/>
          <w:lang w:val="en-US"/>
        </w:rPr>
        <w:t>Martinez-</w:t>
      </w:r>
      <w:proofErr w:type="spellStart"/>
      <w:r w:rsidRPr="00C122E5">
        <w:rPr>
          <w:smallCaps/>
          <w:szCs w:val="18"/>
          <w:lang w:val="en-US"/>
        </w:rPr>
        <w:t>Menchaca</w:t>
      </w:r>
      <w:proofErr w:type="spellEnd"/>
      <w:r w:rsidRPr="00C122E5">
        <w:rPr>
          <w:smallCaps/>
          <w:szCs w:val="18"/>
          <w:lang w:val="en-US"/>
        </w:rPr>
        <w:t xml:space="preserve">, </w:t>
      </w:r>
      <w:r w:rsidR="008C28D0">
        <w:rPr>
          <w:smallCaps/>
          <w:szCs w:val="18"/>
          <w:lang w:val="en-US"/>
        </w:rPr>
        <w:t xml:space="preserve">H. R., </w:t>
      </w:r>
      <w:r w:rsidRPr="00C122E5">
        <w:rPr>
          <w:smallCaps/>
          <w:szCs w:val="18"/>
          <w:lang w:val="en-US"/>
        </w:rPr>
        <w:t xml:space="preserve">Ahmed, </w:t>
      </w:r>
      <w:r w:rsidR="008C28D0">
        <w:rPr>
          <w:smallCaps/>
          <w:szCs w:val="18"/>
          <w:lang w:val="en-US"/>
        </w:rPr>
        <w:t xml:space="preserve">M., </w:t>
      </w:r>
      <w:r w:rsidRPr="00C122E5">
        <w:rPr>
          <w:smallCaps/>
          <w:szCs w:val="18"/>
          <w:lang w:val="en-US"/>
        </w:rPr>
        <w:t>and Farsi</w:t>
      </w:r>
      <w:r w:rsidR="008C28D0">
        <w:rPr>
          <w:smallCaps/>
          <w:szCs w:val="18"/>
          <w:lang w:val="en-US"/>
        </w:rPr>
        <w:t xml:space="preserve">, </w:t>
      </w:r>
      <w:r w:rsidR="00432103">
        <w:rPr>
          <w:smallCaps/>
          <w:szCs w:val="18"/>
          <w:lang w:val="en-US"/>
        </w:rPr>
        <w:t xml:space="preserve">N.  (2022). </w:t>
      </w:r>
      <w:r w:rsidRPr="00C122E5">
        <w:rPr>
          <w:szCs w:val="18"/>
          <w:lang w:val="en-US"/>
        </w:rPr>
        <w:t>Social Media and Health Care (Part II): Narrative Review of Social Media Use by Patients</w:t>
      </w:r>
      <w:r w:rsidR="00432103">
        <w:rPr>
          <w:szCs w:val="18"/>
          <w:lang w:val="en-US"/>
        </w:rPr>
        <w:t xml:space="preserve">. </w:t>
      </w:r>
      <w:r w:rsidRPr="00C122E5">
        <w:rPr>
          <w:i/>
          <w:iCs/>
          <w:szCs w:val="18"/>
          <w:lang w:val="en-US"/>
        </w:rPr>
        <w:t>Journal of Medical Internet Research</w:t>
      </w:r>
      <w:r w:rsidRPr="00C122E5">
        <w:rPr>
          <w:szCs w:val="18"/>
          <w:lang w:val="en-US"/>
        </w:rPr>
        <w:t xml:space="preserve"> 24, no. 1: e30379. https://doi.org/10.2196/30379.</w:t>
      </w:r>
    </w:p>
    <w:p w14:paraId="369FDAF9" w14:textId="19DF419A" w:rsidR="00304358" w:rsidRPr="00D85EC6" w:rsidRDefault="00304358" w:rsidP="00304358">
      <w:pPr>
        <w:pStyle w:val="Testo1"/>
        <w:rPr>
          <w:szCs w:val="18"/>
          <w:lang w:val="en-US"/>
        </w:rPr>
      </w:pPr>
      <w:r w:rsidRPr="00D85EC6">
        <w:rPr>
          <w:smallCaps/>
          <w:szCs w:val="18"/>
          <w:lang w:val="en-US"/>
        </w:rPr>
        <w:t xml:space="preserve">Locatelli, </w:t>
      </w:r>
      <w:r w:rsidR="00432103">
        <w:rPr>
          <w:smallCaps/>
          <w:szCs w:val="18"/>
          <w:lang w:val="en-US"/>
        </w:rPr>
        <w:t xml:space="preserve">E., </w:t>
      </w:r>
      <w:proofErr w:type="spellStart"/>
      <w:r w:rsidRPr="00D85EC6">
        <w:rPr>
          <w:smallCaps/>
          <w:szCs w:val="18"/>
          <w:lang w:val="en-US"/>
        </w:rPr>
        <w:t>Lovari</w:t>
      </w:r>
      <w:proofErr w:type="spellEnd"/>
      <w:r w:rsidRPr="00D85EC6">
        <w:rPr>
          <w:smallCaps/>
          <w:szCs w:val="18"/>
          <w:lang w:val="en-US"/>
        </w:rPr>
        <w:t xml:space="preserve">, </w:t>
      </w:r>
      <w:r w:rsidR="00432103">
        <w:rPr>
          <w:smallCaps/>
          <w:szCs w:val="18"/>
          <w:lang w:val="en-US"/>
        </w:rPr>
        <w:t xml:space="preserve">A. (2021). </w:t>
      </w:r>
      <w:proofErr w:type="spellStart"/>
      <w:r w:rsidRPr="00D85EC6">
        <w:rPr>
          <w:i/>
          <w:iCs/>
          <w:szCs w:val="18"/>
          <w:lang w:val="en-US"/>
        </w:rPr>
        <w:t>Platformization</w:t>
      </w:r>
      <w:proofErr w:type="spellEnd"/>
      <w:r w:rsidRPr="00D85EC6">
        <w:rPr>
          <w:i/>
          <w:iCs/>
          <w:szCs w:val="18"/>
          <w:lang w:val="en-US"/>
        </w:rPr>
        <w:t xml:space="preserve"> of healthcare communication: Insights from the early stage of the COVID-19 pandemic in Italy</w:t>
      </w:r>
      <w:r w:rsidRPr="00D85EC6">
        <w:rPr>
          <w:szCs w:val="18"/>
          <w:lang w:val="en-US"/>
        </w:rPr>
        <w:t xml:space="preserve">. Catalan Journal of Communication &amp; Cultural Studies, 13 </w:t>
      </w:r>
      <w:r w:rsidRPr="00D85EC6">
        <w:rPr>
          <w:i/>
          <w:iCs/>
          <w:szCs w:val="18"/>
          <w:lang w:val="en-US"/>
        </w:rPr>
        <w:t>(2)</w:t>
      </w:r>
      <w:r w:rsidRPr="00D85EC6">
        <w:rPr>
          <w:szCs w:val="18"/>
          <w:lang w:val="en-US"/>
        </w:rPr>
        <w:t xml:space="preserve">, pp. 249-266, </w:t>
      </w:r>
      <w:proofErr w:type="spellStart"/>
      <w:r w:rsidRPr="00D85EC6">
        <w:rPr>
          <w:szCs w:val="18"/>
          <w:lang w:val="en-US"/>
        </w:rPr>
        <w:t>doi:</w:t>
      </w:r>
      <w:hyperlink r:id="rId7" w:history="1">
        <w:r w:rsidRPr="00D85EC6">
          <w:rPr>
            <w:rStyle w:val="Collegamentoipertestuale"/>
            <w:szCs w:val="18"/>
            <w:lang w:val="en-US"/>
          </w:rPr>
          <w:t>https</w:t>
        </w:r>
        <w:proofErr w:type="spellEnd"/>
        <w:r w:rsidRPr="00D85EC6">
          <w:rPr>
            <w:rStyle w:val="Collegamentoipertestuale"/>
            <w:szCs w:val="18"/>
            <w:lang w:val="en-US"/>
          </w:rPr>
          <w:t>://doi.org/10.1386/cjcs_000XX_XX</w:t>
        </w:r>
      </w:hyperlink>
      <w:r w:rsidRPr="00D85EC6">
        <w:rPr>
          <w:szCs w:val="18"/>
          <w:lang w:val="en-US"/>
        </w:rPr>
        <w:t xml:space="preserve"> </w:t>
      </w:r>
    </w:p>
    <w:p w14:paraId="4C17E998" w14:textId="3F52E3DC" w:rsidR="00570FBA" w:rsidRPr="00D85EC6" w:rsidRDefault="008E7595" w:rsidP="008E7595">
      <w:pPr>
        <w:pStyle w:val="Testo1"/>
        <w:rPr>
          <w:szCs w:val="18"/>
          <w:lang w:val="en-US"/>
        </w:rPr>
      </w:pPr>
      <w:r w:rsidRPr="00D85EC6">
        <w:rPr>
          <w:smallCaps/>
          <w:szCs w:val="18"/>
          <w:lang w:val="en-US"/>
        </w:rPr>
        <w:t>Locatelli,</w:t>
      </w:r>
      <w:r w:rsidR="00E4775C" w:rsidRPr="00D85EC6">
        <w:rPr>
          <w:szCs w:val="18"/>
          <w:lang w:val="en-US"/>
        </w:rPr>
        <w:t xml:space="preserve"> </w:t>
      </w:r>
      <w:r w:rsidR="00231E29">
        <w:rPr>
          <w:szCs w:val="18"/>
          <w:lang w:val="en-US"/>
        </w:rPr>
        <w:t xml:space="preserve">E., (2020). </w:t>
      </w:r>
      <w:r w:rsidR="00E4775C" w:rsidRPr="00231E29">
        <w:rPr>
          <w:iCs/>
          <w:szCs w:val="18"/>
          <w:lang w:val="en-US"/>
        </w:rPr>
        <w:t>Influencers as socio-technical actors: mapping the paths of influence and the traces of the digital influencers’ system in Italy</w:t>
      </w:r>
      <w:r w:rsidRPr="00D85EC6">
        <w:rPr>
          <w:szCs w:val="18"/>
          <w:lang w:val="en-US"/>
        </w:rPr>
        <w:t>.</w:t>
      </w:r>
      <w:r w:rsidR="00E4775C" w:rsidRPr="00D85EC6">
        <w:rPr>
          <w:szCs w:val="18"/>
          <w:lang w:val="en-US"/>
        </w:rPr>
        <w:t xml:space="preserve"> </w:t>
      </w:r>
      <w:r w:rsidR="00E4775C" w:rsidRPr="00231E29">
        <w:rPr>
          <w:i/>
          <w:szCs w:val="18"/>
          <w:lang w:val="en-US"/>
        </w:rPr>
        <w:t xml:space="preserve">Journal </w:t>
      </w:r>
      <w:r w:rsidR="00FF7D40" w:rsidRPr="00231E29">
        <w:rPr>
          <w:i/>
          <w:szCs w:val="18"/>
          <w:lang w:val="en-US"/>
        </w:rPr>
        <w:t>o</w:t>
      </w:r>
      <w:r w:rsidR="00E4775C" w:rsidRPr="00231E29">
        <w:rPr>
          <w:i/>
          <w:szCs w:val="18"/>
          <w:lang w:val="en-US"/>
        </w:rPr>
        <w:t xml:space="preserve">f </w:t>
      </w:r>
      <w:proofErr w:type="spellStart"/>
      <w:r w:rsidR="00E4775C" w:rsidRPr="00231E29">
        <w:rPr>
          <w:i/>
          <w:szCs w:val="18"/>
          <w:lang w:val="en-US"/>
        </w:rPr>
        <w:t>Sociocybernetics</w:t>
      </w:r>
      <w:proofErr w:type="spellEnd"/>
      <w:r w:rsidR="003C6472" w:rsidRPr="00D85EC6">
        <w:rPr>
          <w:szCs w:val="18"/>
          <w:lang w:val="en-US"/>
        </w:rPr>
        <w:t>,</w:t>
      </w:r>
      <w:r w:rsidR="00C823F3" w:rsidRPr="00D85EC6">
        <w:rPr>
          <w:szCs w:val="18"/>
          <w:lang w:val="en-US"/>
        </w:rPr>
        <w:t xml:space="preserve"> </w:t>
      </w:r>
      <w:r w:rsidR="00E4775C" w:rsidRPr="00D85EC6">
        <w:rPr>
          <w:szCs w:val="18"/>
          <w:lang w:val="en-US"/>
        </w:rPr>
        <w:t xml:space="preserve">17 </w:t>
      </w:r>
      <w:r w:rsidR="00E4775C" w:rsidRPr="00D85EC6">
        <w:rPr>
          <w:i/>
          <w:iCs/>
          <w:szCs w:val="18"/>
          <w:lang w:val="en-US"/>
        </w:rPr>
        <w:t>(1)</w:t>
      </w:r>
      <w:r w:rsidR="00575E1F" w:rsidRPr="00D85EC6">
        <w:rPr>
          <w:szCs w:val="18"/>
          <w:lang w:val="en-US"/>
        </w:rPr>
        <w:t xml:space="preserve">, </w:t>
      </w:r>
      <w:r w:rsidR="00E4775C" w:rsidRPr="00D85EC6">
        <w:rPr>
          <w:szCs w:val="18"/>
          <w:lang w:val="en-US"/>
        </w:rPr>
        <w:t>1-18. doi:10.26754/</w:t>
      </w:r>
      <w:proofErr w:type="spellStart"/>
      <w:r w:rsidR="00E4775C" w:rsidRPr="00D85EC6">
        <w:rPr>
          <w:szCs w:val="18"/>
          <w:lang w:val="en-US"/>
        </w:rPr>
        <w:t>ojs_jos</w:t>
      </w:r>
      <w:proofErr w:type="spellEnd"/>
      <w:r w:rsidR="00E4775C" w:rsidRPr="00D85EC6">
        <w:rPr>
          <w:szCs w:val="18"/>
          <w:lang w:val="en-US"/>
        </w:rPr>
        <w:t>/jos.202013940.</w:t>
      </w:r>
    </w:p>
    <w:p w14:paraId="7F3ECFAF" w14:textId="45219E74" w:rsidR="00164C08" w:rsidRPr="00D85EC6" w:rsidRDefault="008E7595" w:rsidP="008E7595">
      <w:pPr>
        <w:pStyle w:val="Testo1"/>
        <w:rPr>
          <w:szCs w:val="18"/>
          <w:lang w:val="en-US"/>
        </w:rPr>
      </w:pPr>
      <w:r w:rsidRPr="00D85EC6">
        <w:rPr>
          <w:smallCaps/>
          <w:szCs w:val="18"/>
          <w:lang w:val="en-US"/>
        </w:rPr>
        <w:t>Moorhead</w:t>
      </w:r>
      <w:r w:rsidR="00231E29">
        <w:rPr>
          <w:smallCaps/>
          <w:szCs w:val="18"/>
          <w:lang w:val="en-US"/>
        </w:rPr>
        <w:t xml:space="preserve">, S., </w:t>
      </w:r>
      <w:r w:rsidRPr="00D85EC6">
        <w:rPr>
          <w:smallCaps/>
          <w:szCs w:val="18"/>
          <w:lang w:val="en-US"/>
        </w:rPr>
        <w:t>Hazlett</w:t>
      </w:r>
      <w:r w:rsidR="00231E29">
        <w:rPr>
          <w:smallCaps/>
          <w:szCs w:val="18"/>
          <w:lang w:val="en-US"/>
        </w:rPr>
        <w:t xml:space="preserve">, D., </w:t>
      </w:r>
      <w:r w:rsidRPr="00D85EC6">
        <w:rPr>
          <w:smallCaps/>
          <w:szCs w:val="18"/>
          <w:lang w:val="en-US"/>
        </w:rPr>
        <w:t>Harrison</w:t>
      </w:r>
      <w:r w:rsidR="00231E29">
        <w:rPr>
          <w:smallCaps/>
          <w:szCs w:val="18"/>
          <w:lang w:val="en-US"/>
        </w:rPr>
        <w:t xml:space="preserve">, L. </w:t>
      </w:r>
      <w:r w:rsidRPr="00D85EC6">
        <w:rPr>
          <w:smallCaps/>
          <w:szCs w:val="18"/>
          <w:lang w:val="en-US"/>
        </w:rPr>
        <w:t xml:space="preserve"> Carroll</w:t>
      </w:r>
      <w:r w:rsidR="00231E29">
        <w:rPr>
          <w:smallCaps/>
          <w:szCs w:val="18"/>
          <w:lang w:val="en-US"/>
        </w:rPr>
        <w:t>, J.,</w:t>
      </w:r>
      <w:r w:rsidRPr="00D85EC6">
        <w:rPr>
          <w:smallCaps/>
          <w:szCs w:val="18"/>
          <w:lang w:val="en-US"/>
        </w:rPr>
        <w:t xml:space="preserve"> Irwin,</w:t>
      </w:r>
      <w:r w:rsidRPr="00D85EC6">
        <w:rPr>
          <w:szCs w:val="18"/>
          <w:lang w:val="en-US"/>
        </w:rPr>
        <w:t xml:space="preserve"> </w:t>
      </w:r>
      <w:r w:rsidR="00231E29">
        <w:rPr>
          <w:szCs w:val="18"/>
          <w:lang w:val="en-US"/>
        </w:rPr>
        <w:t>A., et al. (2013)</w:t>
      </w:r>
      <w:r w:rsidRPr="00D85EC6">
        <w:rPr>
          <w:szCs w:val="18"/>
          <w:lang w:val="en-US"/>
        </w:rPr>
        <w:t>.</w:t>
      </w:r>
      <w:r w:rsidR="00E4775C" w:rsidRPr="00D85EC6">
        <w:rPr>
          <w:szCs w:val="18"/>
          <w:lang w:val="en-US"/>
        </w:rPr>
        <w:t xml:space="preserve"> </w:t>
      </w:r>
      <w:r w:rsidR="00E4775C" w:rsidRPr="00231E29">
        <w:rPr>
          <w:iCs/>
          <w:szCs w:val="18"/>
          <w:lang w:val="en-US"/>
        </w:rPr>
        <w:t>A new dimension of health care: systematic review of the uses, benefits, and limitations of social media for health communication</w:t>
      </w:r>
      <w:r w:rsidR="00E4775C" w:rsidRPr="00D85EC6">
        <w:rPr>
          <w:szCs w:val="18"/>
          <w:lang w:val="en-US"/>
        </w:rPr>
        <w:t xml:space="preserve">. </w:t>
      </w:r>
      <w:r w:rsidR="00E4775C" w:rsidRPr="00231E29">
        <w:rPr>
          <w:i/>
          <w:iCs/>
          <w:szCs w:val="18"/>
          <w:lang w:val="en-US"/>
        </w:rPr>
        <w:t>Journal of Medical Internet Research</w:t>
      </w:r>
      <w:r w:rsidRPr="00D85EC6">
        <w:rPr>
          <w:szCs w:val="18"/>
          <w:lang w:val="en-US"/>
        </w:rPr>
        <w:t xml:space="preserve">, </w:t>
      </w:r>
      <w:r w:rsidR="00E4775C" w:rsidRPr="00D85EC6">
        <w:rPr>
          <w:szCs w:val="18"/>
          <w:lang w:val="en-US"/>
        </w:rPr>
        <w:t>15</w:t>
      </w:r>
      <w:r w:rsidR="00E4775C" w:rsidRPr="00D85EC6">
        <w:rPr>
          <w:i/>
          <w:szCs w:val="18"/>
          <w:lang w:val="en-US"/>
        </w:rPr>
        <w:t>(4)</w:t>
      </w:r>
      <w:r w:rsidR="00E4775C" w:rsidRPr="00D85EC6">
        <w:rPr>
          <w:szCs w:val="18"/>
          <w:lang w:val="en-US"/>
        </w:rPr>
        <w:t xml:space="preserve">, </w:t>
      </w:r>
      <w:hyperlink r:id="rId8">
        <w:r w:rsidR="00E4775C" w:rsidRPr="00D85EC6">
          <w:rPr>
            <w:rStyle w:val="Collegamentoipertestuale"/>
            <w:szCs w:val="18"/>
            <w:lang w:val="en-US"/>
          </w:rPr>
          <w:t>https://www.ncbi.nlm.nih.gov/pmc/articles/PMC3636326/</w:t>
        </w:r>
      </w:hyperlink>
      <w:r w:rsidR="00E4775C" w:rsidRPr="00D85EC6">
        <w:rPr>
          <w:szCs w:val="18"/>
          <w:lang w:val="en-US"/>
        </w:rPr>
        <w:t xml:space="preserve"> .</w:t>
      </w:r>
    </w:p>
    <w:p w14:paraId="7F3ECFB0" w14:textId="4769CFCE" w:rsidR="00164C08" w:rsidRPr="00D85EC6" w:rsidRDefault="008E7595" w:rsidP="008E7595">
      <w:pPr>
        <w:pStyle w:val="Testo1"/>
        <w:rPr>
          <w:szCs w:val="18"/>
          <w:lang w:val="en-US"/>
        </w:rPr>
      </w:pPr>
      <w:proofErr w:type="spellStart"/>
      <w:r w:rsidRPr="00D85EC6">
        <w:rPr>
          <w:smallCaps/>
          <w:szCs w:val="18"/>
          <w:lang w:val="de-DE"/>
        </w:rPr>
        <w:t>Uzunoğlu</w:t>
      </w:r>
      <w:proofErr w:type="spellEnd"/>
      <w:r w:rsidR="00231E29">
        <w:rPr>
          <w:smallCaps/>
          <w:szCs w:val="18"/>
          <w:lang w:val="de-DE"/>
        </w:rPr>
        <w:t xml:space="preserve">, E., </w:t>
      </w:r>
      <w:proofErr w:type="spellStart"/>
      <w:r w:rsidRPr="00D85EC6">
        <w:rPr>
          <w:smallCaps/>
          <w:szCs w:val="18"/>
          <w:lang w:val="de-DE"/>
        </w:rPr>
        <w:t>Misci</w:t>
      </w:r>
      <w:proofErr w:type="spellEnd"/>
      <w:r w:rsidRPr="00D85EC6">
        <w:rPr>
          <w:smallCaps/>
          <w:szCs w:val="18"/>
          <w:lang w:val="de-DE"/>
        </w:rPr>
        <w:t xml:space="preserve"> </w:t>
      </w:r>
      <w:proofErr w:type="spellStart"/>
      <w:r w:rsidRPr="00D85EC6">
        <w:rPr>
          <w:smallCaps/>
          <w:szCs w:val="18"/>
          <w:lang w:val="de-DE"/>
        </w:rPr>
        <w:t>Kip</w:t>
      </w:r>
      <w:proofErr w:type="spellEnd"/>
      <w:r w:rsidRPr="00D85EC6">
        <w:rPr>
          <w:smallCaps/>
          <w:szCs w:val="18"/>
          <w:lang w:val="de-DE"/>
        </w:rPr>
        <w:t>,</w:t>
      </w:r>
      <w:r w:rsidR="00E4775C" w:rsidRPr="00D85EC6">
        <w:rPr>
          <w:szCs w:val="18"/>
          <w:lang w:val="de-DE"/>
        </w:rPr>
        <w:t xml:space="preserve"> </w:t>
      </w:r>
      <w:r w:rsidR="00231E29">
        <w:rPr>
          <w:szCs w:val="18"/>
          <w:lang w:val="de-DE"/>
        </w:rPr>
        <w:t xml:space="preserve">S. (2014). </w:t>
      </w:r>
      <w:r w:rsidR="00E4775C" w:rsidRPr="00231E29">
        <w:rPr>
          <w:iCs/>
          <w:szCs w:val="18"/>
          <w:lang w:val="en-US"/>
        </w:rPr>
        <w:t>Brand communication through digital influencers: Leveraging blogger engagement</w:t>
      </w:r>
      <w:r w:rsidR="00E4775C" w:rsidRPr="00D85EC6">
        <w:rPr>
          <w:szCs w:val="18"/>
          <w:lang w:val="en-US"/>
        </w:rPr>
        <w:t xml:space="preserve">. </w:t>
      </w:r>
      <w:r w:rsidR="00E4775C" w:rsidRPr="00231E29">
        <w:rPr>
          <w:i/>
          <w:iCs/>
          <w:szCs w:val="18"/>
          <w:lang w:val="en-US"/>
        </w:rPr>
        <w:t>International Journal of Information Management</w:t>
      </w:r>
      <w:r w:rsidR="00E4775C" w:rsidRPr="00D85EC6">
        <w:rPr>
          <w:szCs w:val="18"/>
          <w:lang w:val="en-US"/>
        </w:rPr>
        <w:t>,</w:t>
      </w:r>
      <w:r w:rsidR="00231E29">
        <w:rPr>
          <w:szCs w:val="18"/>
          <w:lang w:val="en-US"/>
        </w:rPr>
        <w:t xml:space="preserve"> </w:t>
      </w:r>
      <w:r w:rsidR="00E4775C" w:rsidRPr="00D85EC6">
        <w:rPr>
          <w:szCs w:val="18"/>
          <w:lang w:val="en-US"/>
        </w:rPr>
        <w:t>34</w:t>
      </w:r>
      <w:r w:rsidR="00E4775C" w:rsidRPr="00D85EC6">
        <w:rPr>
          <w:i/>
          <w:szCs w:val="18"/>
          <w:lang w:val="en-US"/>
        </w:rPr>
        <w:t>(5)</w:t>
      </w:r>
      <w:r w:rsidR="00E4775C" w:rsidRPr="00D85EC6">
        <w:rPr>
          <w:szCs w:val="18"/>
          <w:lang w:val="en-US"/>
        </w:rPr>
        <w:t>, pp. 592-602.</w:t>
      </w:r>
    </w:p>
    <w:p w14:paraId="7F3ECFB2" w14:textId="33652D74" w:rsidR="00164C08" w:rsidRPr="00D85EC6" w:rsidRDefault="00231E29" w:rsidP="00231E29">
      <w:pPr>
        <w:pStyle w:val="Testo1"/>
        <w:rPr>
          <w:szCs w:val="18"/>
          <w:lang w:val="en-US"/>
        </w:rPr>
      </w:pPr>
      <w:r>
        <w:rPr>
          <w:smallCaps/>
          <w:szCs w:val="18"/>
          <w:lang w:val="en-US"/>
        </w:rPr>
        <w:t xml:space="preserve">Van </w:t>
      </w:r>
      <w:proofErr w:type="spellStart"/>
      <w:r w:rsidR="008E7595" w:rsidRPr="00D85EC6">
        <w:rPr>
          <w:smallCaps/>
          <w:szCs w:val="18"/>
          <w:lang w:val="en-US"/>
        </w:rPr>
        <w:t>Dijck</w:t>
      </w:r>
      <w:proofErr w:type="spellEnd"/>
      <w:r>
        <w:rPr>
          <w:smallCaps/>
          <w:szCs w:val="18"/>
          <w:lang w:val="en-US"/>
        </w:rPr>
        <w:t xml:space="preserve">, J., </w:t>
      </w:r>
      <w:proofErr w:type="spellStart"/>
      <w:r w:rsidR="008E7595" w:rsidRPr="00D85EC6">
        <w:rPr>
          <w:smallCaps/>
          <w:szCs w:val="18"/>
          <w:lang w:val="en-US"/>
        </w:rPr>
        <w:t>Poell</w:t>
      </w:r>
      <w:proofErr w:type="spellEnd"/>
      <w:r w:rsidR="008E7595" w:rsidRPr="00D85EC6">
        <w:rPr>
          <w:smallCaps/>
          <w:szCs w:val="18"/>
          <w:lang w:val="en-US"/>
        </w:rPr>
        <w:t>,</w:t>
      </w:r>
      <w:r w:rsidR="00E4775C" w:rsidRPr="00D85EC6">
        <w:rPr>
          <w:szCs w:val="18"/>
          <w:lang w:val="en-US"/>
        </w:rPr>
        <w:t xml:space="preserve"> </w:t>
      </w:r>
      <w:r>
        <w:rPr>
          <w:szCs w:val="18"/>
          <w:lang w:val="en-US"/>
        </w:rPr>
        <w:t xml:space="preserve">T. (2013). </w:t>
      </w:r>
      <w:r w:rsidR="00E4775C" w:rsidRPr="00231E29">
        <w:rPr>
          <w:iCs/>
          <w:szCs w:val="18"/>
          <w:lang w:val="en-US"/>
        </w:rPr>
        <w:t>Understanding Social Media Logi</w:t>
      </w:r>
      <w:r w:rsidR="00E4775C" w:rsidRPr="00D85EC6">
        <w:rPr>
          <w:i/>
          <w:szCs w:val="18"/>
          <w:lang w:val="en-US"/>
        </w:rPr>
        <w:t>c</w:t>
      </w:r>
      <w:r w:rsidR="00E4775C" w:rsidRPr="00D85EC6">
        <w:rPr>
          <w:szCs w:val="18"/>
          <w:lang w:val="en-US"/>
        </w:rPr>
        <w:t xml:space="preserve">. </w:t>
      </w:r>
      <w:r w:rsidR="00E4775C" w:rsidRPr="00231E29">
        <w:rPr>
          <w:i/>
          <w:iCs/>
          <w:szCs w:val="18"/>
          <w:lang w:val="en-US"/>
        </w:rPr>
        <w:t>Media and Communication</w:t>
      </w:r>
      <w:r w:rsidR="00E4775C" w:rsidRPr="00D85EC6">
        <w:rPr>
          <w:szCs w:val="18"/>
          <w:lang w:val="en-US"/>
        </w:rPr>
        <w:t>,</w:t>
      </w:r>
      <w:r>
        <w:rPr>
          <w:szCs w:val="18"/>
          <w:lang w:val="en-US"/>
        </w:rPr>
        <w:t xml:space="preserve"> </w:t>
      </w:r>
      <w:r w:rsidR="00E4775C" w:rsidRPr="00D85EC6">
        <w:rPr>
          <w:szCs w:val="18"/>
          <w:lang w:val="en-US"/>
        </w:rPr>
        <w:t>1</w:t>
      </w:r>
      <w:r w:rsidR="00E4775C" w:rsidRPr="00D85EC6">
        <w:rPr>
          <w:i/>
          <w:szCs w:val="18"/>
          <w:lang w:val="en-US"/>
        </w:rPr>
        <w:t>(1)</w:t>
      </w:r>
      <w:r w:rsidR="00E4775C" w:rsidRPr="00D85EC6">
        <w:rPr>
          <w:szCs w:val="18"/>
          <w:lang w:val="en-US"/>
        </w:rPr>
        <w:t>, pp. 2–14.</w:t>
      </w:r>
      <w:r>
        <w:rPr>
          <w:szCs w:val="18"/>
          <w:lang w:val="en-US"/>
        </w:rPr>
        <w:t xml:space="preserve"> </w:t>
      </w:r>
      <w:r w:rsidR="00E4775C" w:rsidRPr="00D85EC6">
        <w:rPr>
          <w:szCs w:val="18"/>
          <w:lang w:val="en-US"/>
        </w:rPr>
        <w:t xml:space="preserve"> </w:t>
      </w:r>
      <w:hyperlink r:id="rId9">
        <w:r w:rsidR="00E4775C" w:rsidRPr="00D85EC6">
          <w:rPr>
            <w:rStyle w:val="Collegamentoipertestuale"/>
            <w:szCs w:val="18"/>
            <w:lang w:val="en-US"/>
          </w:rPr>
          <w:t>https://www.cogitatiopress.com/mediaandcommunication/article/view/70/60</w:t>
        </w:r>
      </w:hyperlink>
      <w:r w:rsidR="00E4775C" w:rsidRPr="00D85EC6">
        <w:rPr>
          <w:szCs w:val="18"/>
          <w:lang w:val="en-US"/>
        </w:rPr>
        <w:t xml:space="preserve"> </w:t>
      </w:r>
    </w:p>
    <w:p w14:paraId="7F3ECFB3" w14:textId="77777777" w:rsidR="00164C08" w:rsidRPr="00D85EC6" w:rsidRDefault="00E4775C" w:rsidP="008E7595">
      <w:pPr>
        <w:pStyle w:val="Testo1"/>
        <w:spacing w:before="120"/>
        <w:rPr>
          <w:szCs w:val="18"/>
        </w:rPr>
      </w:pPr>
      <w:r w:rsidRPr="00D85EC6">
        <w:rPr>
          <w:szCs w:val="18"/>
        </w:rPr>
        <w:t>Tutti gli articoli sono accessibili tramite l’</w:t>
      </w:r>
      <w:proofErr w:type="spellStart"/>
      <w:r w:rsidRPr="00D85EC6">
        <w:rPr>
          <w:szCs w:val="18"/>
        </w:rPr>
        <w:t>Opac</w:t>
      </w:r>
      <w:proofErr w:type="spellEnd"/>
      <w:r w:rsidRPr="00D85EC6">
        <w:rPr>
          <w:szCs w:val="18"/>
        </w:rPr>
        <w:t xml:space="preserve"> della biblioteca di Ateneo. </w:t>
      </w:r>
    </w:p>
    <w:p w14:paraId="7F3ECFB5" w14:textId="3FDCF63D" w:rsidR="00164C08" w:rsidRPr="00D85EC6" w:rsidRDefault="00E4775C" w:rsidP="008E7595">
      <w:pPr>
        <w:pStyle w:val="Testo1"/>
        <w:rPr>
          <w:szCs w:val="18"/>
        </w:rPr>
      </w:pPr>
      <w:r w:rsidRPr="00D85EC6">
        <w:rPr>
          <w:szCs w:val="18"/>
        </w:rPr>
        <w:t xml:space="preserve">Ulteriore bibliografia nella forma di saggi, contributi di ricerca e appunti del corso sarà messa a disposizione su </w:t>
      </w:r>
      <w:proofErr w:type="spellStart"/>
      <w:r w:rsidRPr="00D85EC6">
        <w:rPr>
          <w:szCs w:val="18"/>
        </w:rPr>
        <w:t>Blackboard</w:t>
      </w:r>
      <w:proofErr w:type="spellEnd"/>
      <w:r w:rsidRPr="00D85EC6">
        <w:rPr>
          <w:szCs w:val="18"/>
        </w:rPr>
        <w:t xml:space="preserve">. </w:t>
      </w:r>
    </w:p>
    <w:p w14:paraId="7F3ECFB6" w14:textId="14E26A92" w:rsidR="00164C08" w:rsidRPr="00D85EC6" w:rsidRDefault="002672D6" w:rsidP="008E7595">
      <w:pPr>
        <w:pStyle w:val="Testo1"/>
        <w:spacing w:before="120"/>
        <w:rPr>
          <w:i/>
          <w:iCs/>
          <w:szCs w:val="18"/>
        </w:rPr>
      </w:pPr>
      <w:r>
        <w:rPr>
          <w:i/>
          <w:iCs/>
          <w:szCs w:val="18"/>
        </w:rPr>
        <w:t>Modulo</w:t>
      </w:r>
      <w:r w:rsidR="00E4775C" w:rsidRPr="00D85EC6">
        <w:rPr>
          <w:i/>
          <w:iCs/>
          <w:szCs w:val="18"/>
        </w:rPr>
        <w:t xml:space="preserve"> 2</w:t>
      </w:r>
      <w:r>
        <w:rPr>
          <w:i/>
          <w:iCs/>
          <w:szCs w:val="18"/>
        </w:rPr>
        <w:t xml:space="preserve"> </w:t>
      </w:r>
      <w:r w:rsidRPr="00C62843">
        <w:rPr>
          <w:szCs w:val="18"/>
        </w:rPr>
        <w:t>(</w:t>
      </w:r>
      <w:r w:rsidR="00C62843" w:rsidRPr="00C62843">
        <w:rPr>
          <w:szCs w:val="18"/>
        </w:rPr>
        <w:t>prof</w:t>
      </w:r>
      <w:r w:rsidRPr="00C62843">
        <w:rPr>
          <w:szCs w:val="18"/>
        </w:rPr>
        <w:t>. Federico Bionda)</w:t>
      </w:r>
    </w:p>
    <w:p w14:paraId="7F3ECFB7" w14:textId="49D9D005" w:rsidR="00164C08" w:rsidRPr="00D85EC6" w:rsidRDefault="00E4775C" w:rsidP="008E7595">
      <w:pPr>
        <w:pStyle w:val="Testo1"/>
        <w:spacing w:line="240" w:lineRule="atLeast"/>
        <w:rPr>
          <w:bCs/>
          <w:spacing w:val="-5"/>
          <w:szCs w:val="18"/>
        </w:rPr>
      </w:pPr>
      <w:r w:rsidRPr="00D85EC6">
        <w:rPr>
          <w:bCs/>
          <w:spacing w:val="-5"/>
          <w:szCs w:val="18"/>
        </w:rPr>
        <w:tab/>
        <w:t xml:space="preserve">Materiale didattico </w:t>
      </w:r>
      <w:r w:rsidR="00655440">
        <w:rPr>
          <w:bCs/>
          <w:spacing w:val="-5"/>
          <w:szCs w:val="18"/>
        </w:rPr>
        <w:t>utilizzato</w:t>
      </w:r>
      <w:r w:rsidRPr="00D85EC6">
        <w:rPr>
          <w:bCs/>
          <w:spacing w:val="-5"/>
          <w:szCs w:val="18"/>
        </w:rPr>
        <w:t xml:space="preserve"> a lezione</w:t>
      </w:r>
      <w:r w:rsidR="00C93149" w:rsidRPr="00D85EC6">
        <w:rPr>
          <w:bCs/>
          <w:spacing w:val="-5"/>
          <w:szCs w:val="18"/>
        </w:rPr>
        <w:t xml:space="preserve"> e caricato su </w:t>
      </w:r>
      <w:proofErr w:type="spellStart"/>
      <w:r w:rsidR="00C93149" w:rsidRPr="00D85EC6">
        <w:rPr>
          <w:bCs/>
          <w:spacing w:val="-5"/>
          <w:szCs w:val="18"/>
        </w:rPr>
        <w:t>Blackboard</w:t>
      </w:r>
      <w:proofErr w:type="spellEnd"/>
      <w:r w:rsidRPr="00D85EC6">
        <w:rPr>
          <w:bCs/>
          <w:spacing w:val="-5"/>
          <w:szCs w:val="18"/>
        </w:rPr>
        <w:t>.</w:t>
      </w:r>
      <w:r w:rsidR="00FF7D40">
        <w:rPr>
          <w:bCs/>
          <w:spacing w:val="-5"/>
          <w:szCs w:val="18"/>
        </w:rPr>
        <w:t xml:space="preserve"> </w:t>
      </w:r>
    </w:p>
    <w:p w14:paraId="7F3ECFB8" w14:textId="77777777" w:rsidR="00164C08" w:rsidRPr="00D85EC6" w:rsidRDefault="00E4775C">
      <w:pPr>
        <w:spacing w:before="240" w:after="120" w:line="220" w:lineRule="exact"/>
        <w:rPr>
          <w:b/>
          <w:i/>
          <w:sz w:val="18"/>
          <w:szCs w:val="18"/>
        </w:rPr>
      </w:pPr>
      <w:r w:rsidRPr="00D85EC6">
        <w:rPr>
          <w:b/>
          <w:i/>
          <w:sz w:val="18"/>
          <w:szCs w:val="18"/>
        </w:rPr>
        <w:t>DIDATTICA DEL CORSO</w:t>
      </w:r>
    </w:p>
    <w:p w14:paraId="7F3ECFB9" w14:textId="03A06E6A" w:rsidR="00164C08" w:rsidRPr="00D85EC6" w:rsidRDefault="00E4775C">
      <w:pPr>
        <w:pStyle w:val="Testo2"/>
        <w:rPr>
          <w:szCs w:val="18"/>
        </w:rPr>
      </w:pPr>
      <w:r w:rsidRPr="00D85EC6">
        <w:rPr>
          <w:szCs w:val="18"/>
        </w:rPr>
        <w:t>La didattica si svolgerà attraverso il commento di testi, la presentazione di ricerche e di studi di caso, sviluppo di progetti</w:t>
      </w:r>
      <w:r w:rsidR="009F1880">
        <w:rPr>
          <w:szCs w:val="18"/>
        </w:rPr>
        <w:t xml:space="preserve">, il lavoro pratico in aula sotto la guida del docente </w:t>
      </w:r>
      <w:r w:rsidR="00616552">
        <w:rPr>
          <w:szCs w:val="18"/>
        </w:rPr>
        <w:t>al fine di applicare le competenze d’uso dei software di ricerca illustrati</w:t>
      </w:r>
      <w:r w:rsidRPr="00D85EC6">
        <w:rPr>
          <w:szCs w:val="18"/>
        </w:rPr>
        <w:t xml:space="preserve">. </w:t>
      </w:r>
      <w:r w:rsidR="0086493F">
        <w:rPr>
          <w:szCs w:val="18"/>
        </w:rPr>
        <w:t>Il</w:t>
      </w:r>
      <w:r w:rsidRPr="00D85EC6">
        <w:rPr>
          <w:szCs w:val="18"/>
        </w:rPr>
        <w:t xml:space="preserve"> corso prevede la realizzazione di un project work di gruppo sulla base del brief assegnato </w:t>
      </w:r>
      <w:r w:rsidR="00F35B17">
        <w:rPr>
          <w:szCs w:val="18"/>
        </w:rPr>
        <w:t>dai</w:t>
      </w:r>
      <w:r w:rsidRPr="00D85EC6">
        <w:rPr>
          <w:szCs w:val="18"/>
        </w:rPr>
        <w:t xml:space="preserve"> docent</w:t>
      </w:r>
      <w:r w:rsidR="00F35B17">
        <w:rPr>
          <w:szCs w:val="18"/>
        </w:rPr>
        <w:t>i</w:t>
      </w:r>
      <w:r w:rsidRPr="00D85EC6">
        <w:rPr>
          <w:szCs w:val="18"/>
        </w:rPr>
        <w:t xml:space="preserve"> che consentirà un apprendimento nella forma di </w:t>
      </w:r>
      <w:r w:rsidRPr="00D85EC6">
        <w:rPr>
          <w:i/>
          <w:iCs/>
          <w:szCs w:val="18"/>
        </w:rPr>
        <w:t xml:space="preserve">learning by </w:t>
      </w:r>
      <w:proofErr w:type="spellStart"/>
      <w:r w:rsidRPr="00D85EC6">
        <w:rPr>
          <w:i/>
          <w:iCs/>
          <w:szCs w:val="18"/>
        </w:rPr>
        <w:t>doing</w:t>
      </w:r>
      <w:proofErr w:type="spellEnd"/>
      <w:r w:rsidRPr="00D85EC6">
        <w:rPr>
          <w:i/>
          <w:iCs/>
          <w:szCs w:val="18"/>
        </w:rPr>
        <w:t xml:space="preserve">. </w:t>
      </w:r>
    </w:p>
    <w:p w14:paraId="7F3ECFBB" w14:textId="05E4BD29" w:rsidR="00164C08" w:rsidRPr="00D85EC6" w:rsidRDefault="00E4775C" w:rsidP="008E7595">
      <w:pPr>
        <w:pStyle w:val="Testo2"/>
        <w:rPr>
          <w:szCs w:val="18"/>
        </w:rPr>
      </w:pPr>
      <w:r w:rsidRPr="00D85EC6">
        <w:rPr>
          <w:szCs w:val="18"/>
        </w:rPr>
        <w:lastRenderedPageBreak/>
        <w:t xml:space="preserve">Gli studenti avranno inoltre l’opportunità di approfondire le tematiche del corso attraverso la testimonianza di professionisti che </w:t>
      </w:r>
      <w:r w:rsidR="00C93149" w:rsidRPr="00D85EC6">
        <w:rPr>
          <w:szCs w:val="18"/>
        </w:rPr>
        <w:t>interverranno</w:t>
      </w:r>
      <w:r w:rsidRPr="00D85EC6">
        <w:rPr>
          <w:szCs w:val="18"/>
        </w:rPr>
        <w:t xml:space="preserve"> durante le lezioni. </w:t>
      </w:r>
    </w:p>
    <w:p w14:paraId="7F3ECFBC" w14:textId="3A07DED3" w:rsidR="00164C08" w:rsidRDefault="00E4775C">
      <w:pPr>
        <w:spacing w:before="240" w:after="120" w:line="220" w:lineRule="exact"/>
        <w:rPr>
          <w:b/>
          <w:i/>
          <w:sz w:val="18"/>
          <w:szCs w:val="18"/>
        </w:rPr>
      </w:pPr>
      <w:r w:rsidRPr="00D85EC6">
        <w:rPr>
          <w:b/>
          <w:i/>
          <w:sz w:val="18"/>
          <w:szCs w:val="18"/>
        </w:rPr>
        <w:t xml:space="preserve">METODO </w:t>
      </w:r>
      <w:r w:rsidR="008E7595" w:rsidRPr="00D85EC6">
        <w:rPr>
          <w:b/>
          <w:i/>
          <w:sz w:val="18"/>
          <w:szCs w:val="18"/>
        </w:rPr>
        <w:t xml:space="preserve">E CRITERI </w:t>
      </w:r>
      <w:r w:rsidRPr="00D85EC6">
        <w:rPr>
          <w:b/>
          <w:i/>
          <w:sz w:val="18"/>
          <w:szCs w:val="18"/>
        </w:rPr>
        <w:t>DI VALUTAZIONE</w:t>
      </w:r>
    </w:p>
    <w:p w14:paraId="3E5AD95E" w14:textId="254B85EE" w:rsidR="001D6E73" w:rsidRPr="002672D6" w:rsidRDefault="001D6E73">
      <w:pPr>
        <w:spacing w:before="240" w:after="120" w:line="220" w:lineRule="exact"/>
        <w:rPr>
          <w:bCs/>
          <w:i/>
          <w:sz w:val="18"/>
          <w:szCs w:val="18"/>
        </w:rPr>
      </w:pPr>
      <w:r w:rsidRPr="002672D6">
        <w:rPr>
          <w:bCs/>
          <w:i/>
          <w:sz w:val="18"/>
          <w:szCs w:val="18"/>
        </w:rPr>
        <w:t>Metodo di valutazione</w:t>
      </w:r>
    </w:p>
    <w:p w14:paraId="26AD2F5D" w14:textId="6ADE2D36" w:rsidR="00E06120" w:rsidRDefault="00E06120" w:rsidP="008E7595">
      <w:pPr>
        <w:pStyle w:val="Testo2"/>
        <w:rPr>
          <w:szCs w:val="18"/>
        </w:rPr>
      </w:pPr>
      <w:r w:rsidRPr="00D85EC6">
        <w:rPr>
          <w:szCs w:val="18"/>
        </w:rPr>
        <w:t>Il voto finale del corso sarà dato dagli esiti delle valutazioni delle due parti del corso così articolate:</w:t>
      </w:r>
      <w:r>
        <w:rPr>
          <w:szCs w:val="18"/>
        </w:rPr>
        <w:t xml:space="preserve"> voto individuale relativo alla parte teorica del </w:t>
      </w:r>
      <w:r w:rsidRPr="00673CBE">
        <w:rPr>
          <w:i/>
          <w:iCs/>
          <w:szCs w:val="18"/>
        </w:rPr>
        <w:t>Modulo 1</w:t>
      </w:r>
      <w:r>
        <w:rPr>
          <w:szCs w:val="18"/>
        </w:rPr>
        <w:t xml:space="preserve"> </w:t>
      </w:r>
      <w:r w:rsidR="00B95185">
        <w:rPr>
          <w:szCs w:val="18"/>
        </w:rPr>
        <w:t xml:space="preserve">e del </w:t>
      </w:r>
      <w:r w:rsidR="00B95185" w:rsidRPr="00673CBE">
        <w:rPr>
          <w:i/>
          <w:iCs/>
          <w:szCs w:val="18"/>
        </w:rPr>
        <w:t>Modulo 2</w:t>
      </w:r>
      <w:r w:rsidR="00B95185">
        <w:rPr>
          <w:szCs w:val="18"/>
        </w:rPr>
        <w:t xml:space="preserve"> </w:t>
      </w:r>
      <w:r>
        <w:rPr>
          <w:szCs w:val="18"/>
        </w:rPr>
        <w:t xml:space="preserve">(50%) e project work di gruppo relativo alla parte operativa del </w:t>
      </w:r>
      <w:r w:rsidRPr="00673CBE">
        <w:rPr>
          <w:i/>
          <w:iCs/>
          <w:szCs w:val="18"/>
        </w:rPr>
        <w:t>Modulo 1</w:t>
      </w:r>
      <w:r>
        <w:rPr>
          <w:szCs w:val="18"/>
        </w:rPr>
        <w:t xml:space="preserve"> e </w:t>
      </w:r>
      <w:r w:rsidR="00B95185">
        <w:rPr>
          <w:szCs w:val="18"/>
        </w:rPr>
        <w:t>del</w:t>
      </w:r>
      <w:r>
        <w:rPr>
          <w:szCs w:val="18"/>
        </w:rPr>
        <w:t xml:space="preserve"> </w:t>
      </w:r>
      <w:r w:rsidRPr="00673CBE">
        <w:rPr>
          <w:i/>
          <w:iCs/>
          <w:szCs w:val="18"/>
        </w:rPr>
        <w:t>Modulo 2</w:t>
      </w:r>
      <w:r>
        <w:rPr>
          <w:szCs w:val="18"/>
        </w:rPr>
        <w:t xml:space="preserve"> (50%): </w:t>
      </w:r>
    </w:p>
    <w:p w14:paraId="7F3ECFC2" w14:textId="2A9DC9B1" w:rsidR="00164C08" w:rsidRPr="00D85EC6" w:rsidRDefault="00E06120">
      <w:pPr>
        <w:pStyle w:val="Testo2"/>
        <w:numPr>
          <w:ilvl w:val="0"/>
          <w:numId w:val="3"/>
        </w:numPr>
        <w:rPr>
          <w:szCs w:val="18"/>
        </w:rPr>
      </w:pPr>
      <w:r w:rsidRPr="00B95185">
        <w:rPr>
          <w:szCs w:val="18"/>
          <w:u w:val="single"/>
        </w:rPr>
        <w:t>Il voto individuale</w:t>
      </w:r>
      <w:r>
        <w:rPr>
          <w:szCs w:val="18"/>
        </w:rPr>
        <w:t xml:space="preserve"> </w:t>
      </w:r>
      <w:r w:rsidRPr="00D85EC6">
        <w:rPr>
          <w:szCs w:val="18"/>
        </w:rPr>
        <w:t xml:space="preserve">(50%) </w:t>
      </w:r>
      <w:r>
        <w:rPr>
          <w:szCs w:val="18"/>
        </w:rPr>
        <w:t>consisterà in un t</w:t>
      </w:r>
      <w:r w:rsidR="00016945" w:rsidRPr="00D85EC6">
        <w:rPr>
          <w:szCs w:val="18"/>
        </w:rPr>
        <w:t>est</w:t>
      </w:r>
      <w:r w:rsidR="00E4775C" w:rsidRPr="00D85EC6">
        <w:rPr>
          <w:szCs w:val="18"/>
        </w:rPr>
        <w:t xml:space="preserve"> scritt</w:t>
      </w:r>
      <w:r w:rsidR="00016945" w:rsidRPr="00D85EC6">
        <w:rPr>
          <w:szCs w:val="18"/>
        </w:rPr>
        <w:t>o</w:t>
      </w:r>
      <w:r w:rsidR="00E4775C" w:rsidRPr="00D85EC6">
        <w:rPr>
          <w:szCs w:val="18"/>
        </w:rPr>
        <w:t xml:space="preserve"> che ha come obiettivo la verifica della conoscenza e della capacità di </w:t>
      </w:r>
      <w:r w:rsidR="003C2F1C" w:rsidRPr="00D85EC6">
        <w:rPr>
          <w:szCs w:val="18"/>
        </w:rPr>
        <w:t>applicare i contenuti spiegati durante il corso e nei materiali bibliografici</w:t>
      </w:r>
      <w:r w:rsidR="00E4775C" w:rsidRPr="00D85EC6">
        <w:rPr>
          <w:szCs w:val="18"/>
        </w:rPr>
        <w:t xml:space="preserve">. </w:t>
      </w:r>
      <w:r w:rsidR="006F5B62">
        <w:rPr>
          <w:szCs w:val="18"/>
        </w:rPr>
        <w:t xml:space="preserve">Per ottenere la sufficienza il voto dello scritto individuale deve essere uguale o superiore a 18. </w:t>
      </w:r>
    </w:p>
    <w:p w14:paraId="7F3ECFC5" w14:textId="3943A2D3" w:rsidR="00164C08" w:rsidRDefault="00E4775C" w:rsidP="008E7595">
      <w:pPr>
        <w:pStyle w:val="Testo2"/>
        <w:numPr>
          <w:ilvl w:val="0"/>
          <w:numId w:val="3"/>
        </w:numPr>
        <w:rPr>
          <w:szCs w:val="18"/>
        </w:rPr>
      </w:pPr>
      <w:r w:rsidRPr="00F32607">
        <w:rPr>
          <w:szCs w:val="18"/>
          <w:u w:val="single"/>
        </w:rPr>
        <w:t>Project work di</w:t>
      </w:r>
      <w:r w:rsidRPr="00D85EC6">
        <w:rPr>
          <w:szCs w:val="18"/>
          <w:u w:val="single"/>
        </w:rPr>
        <w:t xml:space="preserve"> gruppo</w:t>
      </w:r>
      <w:r w:rsidRPr="00D85EC6">
        <w:rPr>
          <w:szCs w:val="18"/>
        </w:rPr>
        <w:t xml:space="preserve"> (50%) realizzato dagli studenti sulla base del brief assegnato in aula</w:t>
      </w:r>
      <w:r w:rsidR="00FD0BC4">
        <w:rPr>
          <w:szCs w:val="18"/>
        </w:rPr>
        <w:t xml:space="preserve"> dai due docenti. </w:t>
      </w:r>
      <w:r w:rsidR="00F32607">
        <w:rPr>
          <w:szCs w:val="18"/>
        </w:rPr>
        <w:t>Per ottenere la sufficienza il voto dello scritto individuale deve essere uguale o superiore a 18.</w:t>
      </w:r>
    </w:p>
    <w:p w14:paraId="7242EE5C" w14:textId="30CFF1D5" w:rsidR="001D6E73" w:rsidRPr="007F3CCF" w:rsidRDefault="001D6E73" w:rsidP="001D6E73">
      <w:pPr>
        <w:spacing w:line="240" w:lineRule="auto"/>
        <w:rPr>
          <w:rFonts w:ascii="Times" w:eastAsia="Times New Roman" w:hAnsi="Times"/>
          <w:i/>
          <w:iCs/>
          <w:sz w:val="18"/>
          <w:szCs w:val="18"/>
        </w:rPr>
      </w:pPr>
      <w:r w:rsidRPr="007F3CCF">
        <w:rPr>
          <w:rFonts w:ascii="Times" w:eastAsia="Times New Roman" w:hAnsi="Times"/>
          <w:i/>
          <w:iCs/>
          <w:sz w:val="18"/>
          <w:szCs w:val="18"/>
        </w:rPr>
        <w:t>Criteri di valutazione</w:t>
      </w:r>
    </w:p>
    <w:p w14:paraId="7EBCC60D" w14:textId="7A21FD57" w:rsidR="001A1047" w:rsidRDefault="00A06C06" w:rsidP="00A06C06">
      <w:pPr>
        <w:pStyle w:val="Testo2"/>
        <w:rPr>
          <w:szCs w:val="18"/>
        </w:rPr>
      </w:pPr>
      <w:r>
        <w:rPr>
          <w:szCs w:val="18"/>
        </w:rPr>
        <w:t xml:space="preserve">Il </w:t>
      </w:r>
      <w:r w:rsidR="00C67DB9">
        <w:rPr>
          <w:szCs w:val="18"/>
        </w:rPr>
        <w:t xml:space="preserve">test scritto individuale </w:t>
      </w:r>
      <w:r w:rsidR="00A919C7">
        <w:rPr>
          <w:szCs w:val="18"/>
        </w:rPr>
        <w:t xml:space="preserve">consisterà in </w:t>
      </w:r>
      <w:r w:rsidR="00535119">
        <w:rPr>
          <w:szCs w:val="18"/>
        </w:rPr>
        <w:t>30</w:t>
      </w:r>
      <w:r w:rsidR="004F36FD">
        <w:rPr>
          <w:szCs w:val="18"/>
        </w:rPr>
        <w:t xml:space="preserve"> domande da </w:t>
      </w:r>
      <w:r w:rsidR="00535119">
        <w:rPr>
          <w:szCs w:val="18"/>
        </w:rPr>
        <w:t>1</w:t>
      </w:r>
      <w:r w:rsidR="004F36FD">
        <w:rPr>
          <w:szCs w:val="18"/>
        </w:rPr>
        <w:t xml:space="preserve"> punti</w:t>
      </w:r>
      <w:r w:rsidR="00535119">
        <w:rPr>
          <w:szCs w:val="18"/>
        </w:rPr>
        <w:t xml:space="preserve"> </w:t>
      </w:r>
      <w:r w:rsidR="004F36FD">
        <w:rPr>
          <w:szCs w:val="18"/>
        </w:rPr>
        <w:t>(</w:t>
      </w:r>
      <w:r w:rsidR="00535119">
        <w:rPr>
          <w:szCs w:val="18"/>
        </w:rPr>
        <w:t>20</w:t>
      </w:r>
      <w:r w:rsidR="004F36FD">
        <w:rPr>
          <w:szCs w:val="18"/>
        </w:rPr>
        <w:t xml:space="preserve"> sul </w:t>
      </w:r>
      <w:r w:rsidR="004F36FD">
        <w:rPr>
          <w:i/>
          <w:iCs/>
          <w:szCs w:val="18"/>
        </w:rPr>
        <w:t xml:space="preserve">Modulo 1 </w:t>
      </w:r>
      <w:r>
        <w:rPr>
          <w:szCs w:val="18"/>
        </w:rPr>
        <w:t>10</w:t>
      </w:r>
      <w:r w:rsidR="004340D8">
        <w:rPr>
          <w:szCs w:val="18"/>
        </w:rPr>
        <w:t xml:space="preserve"> sul </w:t>
      </w:r>
      <w:r w:rsidR="004340D8" w:rsidRPr="004340D8">
        <w:rPr>
          <w:i/>
          <w:iCs/>
          <w:szCs w:val="18"/>
        </w:rPr>
        <w:t>Modulo 2</w:t>
      </w:r>
      <w:r w:rsidR="004340D8">
        <w:rPr>
          <w:szCs w:val="18"/>
        </w:rPr>
        <w:t xml:space="preserve">) </w:t>
      </w:r>
      <w:r w:rsidR="00A919C7">
        <w:rPr>
          <w:szCs w:val="18"/>
        </w:rPr>
        <w:t>e sarà valutato in base alla capacità di rispondere correttamente alle domand</w:t>
      </w:r>
      <w:r w:rsidR="00D63F99">
        <w:rPr>
          <w:szCs w:val="18"/>
        </w:rPr>
        <w:t>e; il p</w:t>
      </w:r>
      <w:r w:rsidR="001A1047" w:rsidRPr="00D63F99">
        <w:rPr>
          <w:szCs w:val="18"/>
        </w:rPr>
        <w:t xml:space="preserve">roject work </w:t>
      </w:r>
      <w:r w:rsidR="00D63F99" w:rsidRPr="00D63F99">
        <w:rPr>
          <w:szCs w:val="18"/>
        </w:rPr>
        <w:t xml:space="preserve">di </w:t>
      </w:r>
      <w:r w:rsidR="00D63F99">
        <w:rPr>
          <w:szCs w:val="18"/>
        </w:rPr>
        <w:t xml:space="preserve">gruppo </w:t>
      </w:r>
      <w:r w:rsidR="001A1047" w:rsidRPr="00D63F99">
        <w:rPr>
          <w:szCs w:val="18"/>
        </w:rPr>
        <w:t>sarà valutato tenendo conto di: capacità di rispondere alle consegne e alle indicazioni fornite in modo pertinente e puntuale (</w:t>
      </w:r>
      <w:r w:rsidR="00532EAA">
        <w:rPr>
          <w:szCs w:val="18"/>
        </w:rPr>
        <w:t>2</w:t>
      </w:r>
      <w:r w:rsidR="001A1047" w:rsidRPr="00D63F99">
        <w:rPr>
          <w:szCs w:val="18"/>
        </w:rPr>
        <w:t xml:space="preserve">0%); </w:t>
      </w:r>
      <w:r w:rsidR="00532EAA">
        <w:rPr>
          <w:szCs w:val="18"/>
        </w:rPr>
        <w:t xml:space="preserve">analisi (20%); </w:t>
      </w:r>
      <w:r w:rsidR="001A1047" w:rsidRPr="00D63F99">
        <w:rPr>
          <w:szCs w:val="18"/>
        </w:rPr>
        <w:t>creatività e originalità dei contenuti proposti (</w:t>
      </w:r>
      <w:r w:rsidR="00DA76F0">
        <w:rPr>
          <w:szCs w:val="18"/>
        </w:rPr>
        <w:t>2</w:t>
      </w:r>
      <w:r w:rsidR="001A1047" w:rsidRPr="00D63F99">
        <w:rPr>
          <w:szCs w:val="18"/>
        </w:rPr>
        <w:t xml:space="preserve">0%); capacità di </w:t>
      </w:r>
      <w:r w:rsidR="00DA76F0">
        <w:rPr>
          <w:szCs w:val="18"/>
        </w:rPr>
        <w:t xml:space="preserve">presentare e </w:t>
      </w:r>
      <w:r w:rsidR="001A1047" w:rsidRPr="00D63F99">
        <w:rPr>
          <w:szCs w:val="18"/>
        </w:rPr>
        <w:t>argomentare la propria proposta di comunicazione (</w:t>
      </w:r>
      <w:r w:rsidR="000D514A">
        <w:rPr>
          <w:szCs w:val="18"/>
        </w:rPr>
        <w:t>2</w:t>
      </w:r>
      <w:r w:rsidR="001A1047" w:rsidRPr="00D63F99">
        <w:rPr>
          <w:szCs w:val="18"/>
        </w:rPr>
        <w:t>0%); organizzazione e aspetto grafico della presentazione finale (</w:t>
      </w:r>
      <w:r w:rsidR="000D514A">
        <w:rPr>
          <w:szCs w:val="18"/>
        </w:rPr>
        <w:t>2</w:t>
      </w:r>
      <w:r w:rsidR="001A1047" w:rsidRPr="00D63F99">
        <w:rPr>
          <w:szCs w:val="18"/>
        </w:rPr>
        <w:t>0%).</w:t>
      </w:r>
    </w:p>
    <w:p w14:paraId="7F3ECFC8" w14:textId="21ED26B5" w:rsidR="00164C08" w:rsidRPr="00D85EC6" w:rsidRDefault="00E4775C">
      <w:pPr>
        <w:spacing w:before="240" w:after="120"/>
        <w:rPr>
          <w:b/>
          <w:i/>
          <w:sz w:val="18"/>
          <w:szCs w:val="18"/>
        </w:rPr>
      </w:pPr>
      <w:r w:rsidRPr="00D85EC6">
        <w:rPr>
          <w:b/>
          <w:i/>
          <w:sz w:val="18"/>
          <w:szCs w:val="18"/>
        </w:rPr>
        <w:t>AVVERTENZE</w:t>
      </w:r>
      <w:r w:rsidR="008E7595" w:rsidRPr="00D85EC6">
        <w:rPr>
          <w:b/>
          <w:i/>
          <w:sz w:val="18"/>
          <w:szCs w:val="18"/>
        </w:rPr>
        <w:t xml:space="preserve"> E PREREQUISITI</w:t>
      </w:r>
    </w:p>
    <w:p w14:paraId="665D1794" w14:textId="44FE66C7" w:rsidR="0069232E" w:rsidRPr="0069232E" w:rsidRDefault="0069232E">
      <w:pPr>
        <w:pStyle w:val="Testo2"/>
        <w:rPr>
          <w:b/>
          <w:bCs/>
          <w:szCs w:val="18"/>
        </w:rPr>
      </w:pPr>
      <w:r w:rsidRPr="007F3CCF">
        <w:rPr>
          <w:i/>
          <w:iCs/>
          <w:szCs w:val="18"/>
        </w:rPr>
        <w:t>Avvertenze</w:t>
      </w:r>
      <w:r w:rsidRPr="0069232E">
        <w:rPr>
          <w:b/>
          <w:bCs/>
          <w:szCs w:val="18"/>
        </w:rPr>
        <w:t xml:space="preserve"> </w:t>
      </w:r>
    </w:p>
    <w:p w14:paraId="5EEC49F8" w14:textId="068EA410" w:rsidR="00536FD8" w:rsidRDefault="00536FD8">
      <w:pPr>
        <w:pStyle w:val="Testo2"/>
        <w:rPr>
          <w:szCs w:val="18"/>
        </w:rPr>
      </w:pPr>
      <w:r w:rsidRPr="00536FD8">
        <w:rPr>
          <w:szCs w:val="18"/>
        </w:rPr>
        <w:t xml:space="preserve">La frequenza è </w:t>
      </w:r>
      <w:r w:rsidR="00FD0BC4">
        <w:rPr>
          <w:szCs w:val="18"/>
        </w:rPr>
        <w:t>altamente consigliata</w:t>
      </w:r>
      <w:r w:rsidRPr="00536FD8">
        <w:rPr>
          <w:szCs w:val="18"/>
        </w:rPr>
        <w:t xml:space="preserve">. Il materiale didattico prodotto durante il corso verrà condiviso </w:t>
      </w:r>
      <w:r w:rsidR="00086624">
        <w:rPr>
          <w:szCs w:val="18"/>
        </w:rPr>
        <w:t>su</w:t>
      </w:r>
      <w:r w:rsidRPr="00536FD8">
        <w:rPr>
          <w:szCs w:val="18"/>
        </w:rPr>
        <w:t xml:space="preserve"> </w:t>
      </w:r>
      <w:proofErr w:type="spellStart"/>
      <w:r>
        <w:rPr>
          <w:szCs w:val="18"/>
        </w:rPr>
        <w:t>B</w:t>
      </w:r>
      <w:r w:rsidRPr="00536FD8">
        <w:rPr>
          <w:szCs w:val="18"/>
        </w:rPr>
        <w:t>lackboard</w:t>
      </w:r>
      <w:proofErr w:type="spellEnd"/>
      <w:r>
        <w:rPr>
          <w:szCs w:val="18"/>
        </w:rPr>
        <w:t xml:space="preserve">. </w:t>
      </w:r>
    </w:p>
    <w:p w14:paraId="7F3ECFCA" w14:textId="77777777" w:rsidR="00164C08" w:rsidRDefault="00E4775C">
      <w:pPr>
        <w:pStyle w:val="Testo2"/>
        <w:rPr>
          <w:szCs w:val="18"/>
        </w:rPr>
      </w:pPr>
      <w:r w:rsidRPr="00D85EC6">
        <w:rPr>
          <w:szCs w:val="18"/>
        </w:rPr>
        <w:t>Gli studenti che fossero, per ragioni accertabili e curriculari, impossibilitati a seguire con regolarità lo svolgimento delle lezioni dovranno prendere contatto con il docente all’inizio dell’anno per individuare un eventuale programma d’esame integrativo o sostitutivo a quanto sopra illustrato.</w:t>
      </w:r>
    </w:p>
    <w:p w14:paraId="2C868761" w14:textId="18A59DED" w:rsidR="0069232E" w:rsidRDefault="0069232E">
      <w:pPr>
        <w:pStyle w:val="Testo2"/>
        <w:rPr>
          <w:b/>
          <w:bCs/>
          <w:szCs w:val="18"/>
        </w:rPr>
      </w:pPr>
      <w:r w:rsidRPr="007F3CCF">
        <w:rPr>
          <w:i/>
          <w:iCs/>
          <w:szCs w:val="18"/>
        </w:rPr>
        <w:t>Prerequisiti</w:t>
      </w:r>
    </w:p>
    <w:p w14:paraId="280B6363" w14:textId="51A3F936" w:rsidR="0069232E" w:rsidRPr="00D85EC6" w:rsidRDefault="0069232E" w:rsidP="0069232E">
      <w:pPr>
        <w:pStyle w:val="Testo2"/>
        <w:rPr>
          <w:szCs w:val="18"/>
        </w:rPr>
      </w:pPr>
      <w:r w:rsidRPr="009367CC">
        <w:rPr>
          <w:szCs w:val="18"/>
        </w:rPr>
        <w:t>Lo studente dovrà possedere conoscenze di base dell’utilizzo di Excel. Si presuppone comunque interesse e un approccio curioso e attento all’utilizzo dei dati</w:t>
      </w:r>
      <w:r>
        <w:rPr>
          <w:szCs w:val="18"/>
        </w:rPr>
        <w:t xml:space="preserve"> </w:t>
      </w:r>
      <w:r w:rsidRPr="00D85EC6">
        <w:rPr>
          <w:szCs w:val="18"/>
        </w:rPr>
        <w:t>e una conoscenza di inglese di livello B2 per lo studi</w:t>
      </w:r>
      <w:r>
        <w:rPr>
          <w:szCs w:val="18"/>
        </w:rPr>
        <w:t>o</w:t>
      </w:r>
      <w:r w:rsidRPr="00D85EC6">
        <w:rPr>
          <w:szCs w:val="18"/>
        </w:rPr>
        <w:t xml:space="preserve"> della bibliografia.</w:t>
      </w:r>
    </w:p>
    <w:p w14:paraId="7F3ECFCE" w14:textId="77777777" w:rsidR="00164C08" w:rsidRPr="00D85EC6" w:rsidRDefault="00E4775C">
      <w:pPr>
        <w:pStyle w:val="Testo2"/>
        <w:spacing w:before="120"/>
        <w:rPr>
          <w:i/>
          <w:szCs w:val="18"/>
        </w:rPr>
      </w:pPr>
      <w:r w:rsidRPr="00D85EC6">
        <w:rPr>
          <w:i/>
          <w:szCs w:val="18"/>
        </w:rPr>
        <w:t>Orario e luogo di ricevimento</w:t>
      </w:r>
    </w:p>
    <w:p w14:paraId="7F3ECFCF" w14:textId="1A49A8D0" w:rsidR="00164C08" w:rsidRPr="00D85EC6" w:rsidRDefault="00E4775C">
      <w:pPr>
        <w:pStyle w:val="Testo2"/>
        <w:rPr>
          <w:szCs w:val="18"/>
        </w:rPr>
      </w:pPr>
      <w:r w:rsidRPr="00D85EC6">
        <w:rPr>
          <w:szCs w:val="18"/>
        </w:rPr>
        <w:t xml:space="preserve">La </w:t>
      </w:r>
      <w:r w:rsidR="00C62843">
        <w:rPr>
          <w:szCs w:val="18"/>
        </w:rPr>
        <w:t>prof</w:t>
      </w:r>
      <w:r w:rsidRPr="00D85EC6">
        <w:rPr>
          <w:szCs w:val="18"/>
        </w:rPr>
        <w:t xml:space="preserve">.ssa Elisabetta Locatelli riceve </w:t>
      </w:r>
      <w:r w:rsidR="00D85EC6" w:rsidRPr="00D85EC6">
        <w:rPr>
          <w:szCs w:val="18"/>
        </w:rPr>
        <w:t xml:space="preserve">su appuntamento </w:t>
      </w:r>
      <w:r w:rsidRPr="00D85EC6">
        <w:rPr>
          <w:szCs w:val="18"/>
        </w:rPr>
        <w:t xml:space="preserve">nelle date indicate sulla bacheca docente. </w:t>
      </w:r>
    </w:p>
    <w:p w14:paraId="7F3ECFD1" w14:textId="513F9A60" w:rsidR="00164C08" w:rsidRPr="00D85EC6" w:rsidRDefault="009367CC" w:rsidP="009800A4">
      <w:pPr>
        <w:pStyle w:val="Testo2"/>
        <w:rPr>
          <w:szCs w:val="18"/>
        </w:rPr>
      </w:pPr>
      <w:r>
        <w:rPr>
          <w:szCs w:val="18"/>
        </w:rPr>
        <w:t xml:space="preserve">Il </w:t>
      </w:r>
      <w:r w:rsidR="00C62843">
        <w:rPr>
          <w:szCs w:val="18"/>
        </w:rPr>
        <w:t>prof</w:t>
      </w:r>
      <w:r>
        <w:rPr>
          <w:szCs w:val="18"/>
        </w:rPr>
        <w:t>. Federico</w:t>
      </w:r>
      <w:r w:rsidR="00E4775C" w:rsidRPr="00D85EC6">
        <w:rPr>
          <w:szCs w:val="18"/>
        </w:rPr>
        <w:t xml:space="preserve"> </w:t>
      </w:r>
      <w:r>
        <w:rPr>
          <w:szCs w:val="18"/>
        </w:rPr>
        <w:t>Bionda</w:t>
      </w:r>
      <w:r w:rsidR="00E4775C" w:rsidRPr="00D85EC6">
        <w:rPr>
          <w:szCs w:val="18"/>
        </w:rPr>
        <w:t xml:space="preserve"> riceve </w:t>
      </w:r>
      <w:r>
        <w:rPr>
          <w:szCs w:val="18"/>
        </w:rPr>
        <w:t xml:space="preserve">online previa comunicazione ricevuta per e-mail. </w:t>
      </w:r>
    </w:p>
    <w:sectPr w:rsidR="00164C08" w:rsidRPr="00D85EC6">
      <w:pgSz w:w="11906" w:h="16838"/>
      <w:pgMar w:top="3515" w:right="2608" w:bottom="3515" w:left="2608" w:header="0" w:footer="0" w:gutter="0"/>
      <w:cols w:space="720"/>
      <w:formProt w:val="0"/>
      <w:docGrid w:linePitch="272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DD3F59" w14:textId="77777777" w:rsidR="000A541F" w:rsidRDefault="000A541F" w:rsidP="000A541F">
      <w:pPr>
        <w:spacing w:line="240" w:lineRule="auto"/>
      </w:pPr>
      <w:r>
        <w:separator/>
      </w:r>
    </w:p>
  </w:endnote>
  <w:endnote w:type="continuationSeparator" w:id="0">
    <w:p w14:paraId="0004659F" w14:textId="77777777" w:rsidR="000A541F" w:rsidRDefault="000A541F" w:rsidP="000A54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F4DBAA" w14:textId="77777777" w:rsidR="000A541F" w:rsidRDefault="000A541F" w:rsidP="000A541F">
      <w:pPr>
        <w:spacing w:line="240" w:lineRule="auto"/>
      </w:pPr>
      <w:r>
        <w:separator/>
      </w:r>
    </w:p>
  </w:footnote>
  <w:footnote w:type="continuationSeparator" w:id="0">
    <w:p w14:paraId="7B97BCB2" w14:textId="77777777" w:rsidR="000A541F" w:rsidRDefault="000A541F" w:rsidP="000A541F">
      <w:pPr>
        <w:spacing w:line="240" w:lineRule="auto"/>
      </w:pPr>
      <w:r>
        <w:continuationSeparator/>
      </w:r>
    </w:p>
  </w:footnote>
  <w:footnote w:id="1">
    <w:p w14:paraId="49F950CB" w14:textId="77777777" w:rsidR="000A541F" w:rsidRDefault="000A541F" w:rsidP="000A541F">
      <w:pPr>
        <w:spacing w:line="240" w:lineRule="auto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bookmarkStart w:id="0" w:name="_Hlk138413471"/>
      <w:bookmarkStart w:id="1" w:name="_Hlk138420671"/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r w:rsidRPr="001D7759">
        <w:rPr>
          <w:sz w:val="16"/>
          <w:szCs w:val="16"/>
        </w:rPr>
        <w:t xml:space="preserve"> </w:t>
      </w:r>
      <w:bookmarkEnd w:id="1"/>
    </w:p>
    <w:p w14:paraId="10371C29" w14:textId="0E222919" w:rsidR="000A541F" w:rsidRDefault="000A541F">
      <w:pPr>
        <w:pStyle w:val="Testonotaapidipagina"/>
      </w:pPr>
      <w:bookmarkStart w:id="2" w:name="_GoBack"/>
      <w:bookmarkEnd w:id="0"/>
      <w:bookmarkEnd w:id="2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E14A8"/>
    <w:multiLevelType w:val="multilevel"/>
    <w:tmpl w:val="6F5A34B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32309B7"/>
    <w:multiLevelType w:val="multilevel"/>
    <w:tmpl w:val="E2B254F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AC56734"/>
    <w:multiLevelType w:val="hybridMultilevel"/>
    <w:tmpl w:val="4418AC7C"/>
    <w:lvl w:ilvl="0" w:tplc="EFB0BA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B07B5"/>
    <w:multiLevelType w:val="multilevel"/>
    <w:tmpl w:val="C98206E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2B5E6836"/>
    <w:multiLevelType w:val="multilevel"/>
    <w:tmpl w:val="E2B254F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5F3E20E9"/>
    <w:multiLevelType w:val="hybridMultilevel"/>
    <w:tmpl w:val="9BA237FE"/>
    <w:lvl w:ilvl="0" w:tplc="9EEE7934">
      <w:numFmt w:val="bullet"/>
      <w:lvlText w:val="-"/>
      <w:lvlJc w:val="left"/>
      <w:pPr>
        <w:ind w:left="720" w:hanging="360"/>
      </w:pPr>
      <w:rPr>
        <w:rFonts w:ascii="Arial MT" w:eastAsia="Arial MT" w:hAnsi="Arial MT" w:cs="Arial MT" w:hint="default"/>
        <w:color w:val="31849B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6A3425"/>
    <w:multiLevelType w:val="multilevel"/>
    <w:tmpl w:val="7098133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284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C08"/>
    <w:rsid w:val="00013B5C"/>
    <w:rsid w:val="00016945"/>
    <w:rsid w:val="000500E2"/>
    <w:rsid w:val="000554DA"/>
    <w:rsid w:val="00080ECB"/>
    <w:rsid w:val="00086624"/>
    <w:rsid w:val="000A541F"/>
    <w:rsid w:val="000C2C98"/>
    <w:rsid w:val="000D32E9"/>
    <w:rsid w:val="000D514A"/>
    <w:rsid w:val="00122E5F"/>
    <w:rsid w:val="00164C08"/>
    <w:rsid w:val="00196EBD"/>
    <w:rsid w:val="001A1047"/>
    <w:rsid w:val="001D6E73"/>
    <w:rsid w:val="001F3012"/>
    <w:rsid w:val="00223EDD"/>
    <w:rsid w:val="00230728"/>
    <w:rsid w:val="00231E29"/>
    <w:rsid w:val="002672D6"/>
    <w:rsid w:val="00297A4C"/>
    <w:rsid w:val="002B230E"/>
    <w:rsid w:val="002F23AD"/>
    <w:rsid w:val="002F5444"/>
    <w:rsid w:val="00304358"/>
    <w:rsid w:val="0032665B"/>
    <w:rsid w:val="00380E21"/>
    <w:rsid w:val="003C2F1C"/>
    <w:rsid w:val="003C6472"/>
    <w:rsid w:val="003D28DD"/>
    <w:rsid w:val="00400803"/>
    <w:rsid w:val="0042108D"/>
    <w:rsid w:val="00432103"/>
    <w:rsid w:val="004340D8"/>
    <w:rsid w:val="00441448"/>
    <w:rsid w:val="00452806"/>
    <w:rsid w:val="00483E12"/>
    <w:rsid w:val="00484E94"/>
    <w:rsid w:val="004B3FA7"/>
    <w:rsid w:val="004C203C"/>
    <w:rsid w:val="004C6FE3"/>
    <w:rsid w:val="004D038E"/>
    <w:rsid w:val="004D4769"/>
    <w:rsid w:val="004F36FD"/>
    <w:rsid w:val="00532EAA"/>
    <w:rsid w:val="00535119"/>
    <w:rsid w:val="00536FD8"/>
    <w:rsid w:val="005372DF"/>
    <w:rsid w:val="00570FBA"/>
    <w:rsid w:val="0057508C"/>
    <w:rsid w:val="00575E1F"/>
    <w:rsid w:val="005B58AE"/>
    <w:rsid w:val="005B67EA"/>
    <w:rsid w:val="005C5745"/>
    <w:rsid w:val="005E53F0"/>
    <w:rsid w:val="00616552"/>
    <w:rsid w:val="00620039"/>
    <w:rsid w:val="00646A30"/>
    <w:rsid w:val="00655440"/>
    <w:rsid w:val="00673CBE"/>
    <w:rsid w:val="0069232E"/>
    <w:rsid w:val="006B5567"/>
    <w:rsid w:val="006C37B1"/>
    <w:rsid w:val="006F5B62"/>
    <w:rsid w:val="00713FD2"/>
    <w:rsid w:val="00721D15"/>
    <w:rsid w:val="007269B6"/>
    <w:rsid w:val="00761DDE"/>
    <w:rsid w:val="007A36AC"/>
    <w:rsid w:val="007F3CCF"/>
    <w:rsid w:val="00816CB1"/>
    <w:rsid w:val="0082778C"/>
    <w:rsid w:val="0086493F"/>
    <w:rsid w:val="00865549"/>
    <w:rsid w:val="0087797B"/>
    <w:rsid w:val="008A0EDC"/>
    <w:rsid w:val="008C0799"/>
    <w:rsid w:val="008C28D0"/>
    <w:rsid w:val="008E57A0"/>
    <w:rsid w:val="008E7595"/>
    <w:rsid w:val="009030AC"/>
    <w:rsid w:val="009367CC"/>
    <w:rsid w:val="009800A4"/>
    <w:rsid w:val="00991960"/>
    <w:rsid w:val="009C670D"/>
    <w:rsid w:val="009F1880"/>
    <w:rsid w:val="00A06C06"/>
    <w:rsid w:val="00A56092"/>
    <w:rsid w:val="00A919C7"/>
    <w:rsid w:val="00A962EB"/>
    <w:rsid w:val="00AA3259"/>
    <w:rsid w:val="00AA7679"/>
    <w:rsid w:val="00AC19F3"/>
    <w:rsid w:val="00AC4035"/>
    <w:rsid w:val="00AC7D39"/>
    <w:rsid w:val="00AF37C8"/>
    <w:rsid w:val="00B23073"/>
    <w:rsid w:val="00B753A2"/>
    <w:rsid w:val="00B937C6"/>
    <w:rsid w:val="00B95185"/>
    <w:rsid w:val="00BA36EA"/>
    <w:rsid w:val="00BA420D"/>
    <w:rsid w:val="00BA6350"/>
    <w:rsid w:val="00BC4962"/>
    <w:rsid w:val="00BE62F1"/>
    <w:rsid w:val="00C047DC"/>
    <w:rsid w:val="00C10764"/>
    <w:rsid w:val="00C122E5"/>
    <w:rsid w:val="00C364FD"/>
    <w:rsid w:val="00C54D0E"/>
    <w:rsid w:val="00C55F24"/>
    <w:rsid w:val="00C62843"/>
    <w:rsid w:val="00C67DB9"/>
    <w:rsid w:val="00C77B40"/>
    <w:rsid w:val="00C8135B"/>
    <w:rsid w:val="00C823F3"/>
    <w:rsid w:val="00C859F2"/>
    <w:rsid w:val="00C93149"/>
    <w:rsid w:val="00C93EEF"/>
    <w:rsid w:val="00CC2BC3"/>
    <w:rsid w:val="00CD24DA"/>
    <w:rsid w:val="00CD3EBE"/>
    <w:rsid w:val="00CD68AB"/>
    <w:rsid w:val="00CD68FA"/>
    <w:rsid w:val="00CF057F"/>
    <w:rsid w:val="00D43216"/>
    <w:rsid w:val="00D63F99"/>
    <w:rsid w:val="00D85EC6"/>
    <w:rsid w:val="00D91227"/>
    <w:rsid w:val="00D936E6"/>
    <w:rsid w:val="00DA2BCF"/>
    <w:rsid w:val="00DA76F0"/>
    <w:rsid w:val="00DD3673"/>
    <w:rsid w:val="00DF6339"/>
    <w:rsid w:val="00E06120"/>
    <w:rsid w:val="00E25C89"/>
    <w:rsid w:val="00E4775C"/>
    <w:rsid w:val="00E62288"/>
    <w:rsid w:val="00E97167"/>
    <w:rsid w:val="00EB222F"/>
    <w:rsid w:val="00EE5699"/>
    <w:rsid w:val="00F25A84"/>
    <w:rsid w:val="00F32607"/>
    <w:rsid w:val="00F35B17"/>
    <w:rsid w:val="00F60960"/>
    <w:rsid w:val="00F74647"/>
    <w:rsid w:val="00F97EDC"/>
    <w:rsid w:val="00FD0BC4"/>
    <w:rsid w:val="00FF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ECF83"/>
  <w15:docId w15:val="{5DA094B3-B37D-5C49-B234-3C0C51752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C74177"/>
    <w:pPr>
      <w:spacing w:line="240" w:lineRule="exact"/>
      <w:jc w:val="both"/>
    </w:pPr>
    <w:rPr>
      <w:rFonts w:eastAsia="MS Mincho"/>
      <w:szCs w:val="24"/>
    </w:rPr>
  </w:style>
  <w:style w:type="paragraph" w:styleId="Titolo1">
    <w:name w:val="heading 1"/>
    <w:next w:val="Titolo2"/>
    <w:link w:val="Titolo1Carattere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sz w:val="18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AE134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qFormat/>
    <w:rsid w:val="00EF5910"/>
    <w:rPr>
      <w:rFonts w:ascii="Times" w:hAnsi="Times"/>
      <w:b/>
    </w:rPr>
  </w:style>
  <w:style w:type="character" w:customStyle="1" w:styleId="Titolo2Carattere">
    <w:name w:val="Titolo 2 Carattere"/>
    <w:link w:val="Titolo2"/>
    <w:qFormat/>
    <w:rsid w:val="00EF5910"/>
    <w:rPr>
      <w:rFonts w:ascii="Times" w:hAnsi="Times"/>
      <w:smallCaps/>
      <w:sz w:val="18"/>
    </w:rPr>
  </w:style>
  <w:style w:type="character" w:styleId="Collegamentoipertestuale">
    <w:name w:val="Hyperlink"/>
    <w:basedOn w:val="Carpredefinitoparagrafo"/>
    <w:uiPriority w:val="99"/>
    <w:unhideWhenUsed/>
    <w:rsid w:val="00AC1ABF"/>
    <w:rPr>
      <w:color w:val="0000FF" w:themeColor="hyperlink"/>
      <w:u w:val="single"/>
    </w:rPr>
  </w:style>
  <w:style w:type="character" w:customStyle="1" w:styleId="TestofumettoCarattere">
    <w:name w:val="Testo fumetto Carattere"/>
    <w:basedOn w:val="Carpredefinitoparagrafo"/>
    <w:link w:val="Testofumetto"/>
    <w:qFormat/>
    <w:rsid w:val="007B5D76"/>
    <w:rPr>
      <w:rFonts w:ascii="Tahoma" w:eastAsia="MS Mincho" w:hAnsi="Tahoma" w:cs="Tahoma"/>
      <w:sz w:val="16"/>
      <w:szCs w:val="16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qFormat/>
    <w:rsid w:val="002238C9"/>
    <w:rPr>
      <w:color w:val="808080"/>
      <w:shd w:val="clear" w:color="auto" w:fill="E6E6E6"/>
    </w:rPr>
  </w:style>
  <w:style w:type="character" w:styleId="Collegamentovisitato">
    <w:name w:val="FollowedHyperlink"/>
    <w:basedOn w:val="Carpredefinitoparagrafo"/>
    <w:semiHidden/>
    <w:unhideWhenUsed/>
    <w:rsid w:val="001044F1"/>
    <w:rPr>
      <w:color w:val="800080" w:themeColor="followedHyperlink"/>
      <w:u w:val="single"/>
    </w:rPr>
  </w:style>
  <w:style w:type="character" w:customStyle="1" w:styleId="Titolo4Carattere">
    <w:name w:val="Titolo 4 Carattere"/>
    <w:basedOn w:val="Carpredefinitoparagrafo"/>
    <w:link w:val="Titolo4"/>
    <w:semiHidden/>
    <w:qFormat/>
    <w:rsid w:val="00AE1345"/>
    <w:rPr>
      <w:rFonts w:asciiTheme="majorHAnsi" w:eastAsiaTheme="majorEastAsia" w:hAnsiTheme="majorHAnsi" w:cstheme="majorBidi"/>
      <w:i/>
      <w:iCs/>
      <w:color w:val="365F91" w:themeColor="accent1" w:themeShade="BF"/>
      <w:szCs w:val="24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ohit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customStyle="1" w:styleId="Index">
    <w:name w:val="Index"/>
    <w:basedOn w:val="Normale"/>
    <w:qFormat/>
    <w:pPr>
      <w:suppressLineNumbers/>
    </w:pPr>
    <w:rPr>
      <w:rFonts w:cs="Lohit Devanagari"/>
    </w:rPr>
  </w:style>
  <w:style w:type="paragraph" w:customStyle="1" w:styleId="Testo1">
    <w:name w:val="Testo 1"/>
    <w:qFormat/>
    <w:pPr>
      <w:spacing w:line="220" w:lineRule="exact"/>
      <w:ind w:left="284" w:hanging="284"/>
      <w:jc w:val="both"/>
    </w:pPr>
    <w:rPr>
      <w:rFonts w:ascii="Times" w:hAnsi="Times"/>
      <w:sz w:val="18"/>
    </w:rPr>
  </w:style>
  <w:style w:type="paragraph" w:customStyle="1" w:styleId="Testo2">
    <w:name w:val="Testo 2"/>
    <w:qFormat/>
    <w:pPr>
      <w:spacing w:line="220" w:lineRule="exact"/>
      <w:ind w:firstLine="284"/>
      <w:jc w:val="both"/>
    </w:pPr>
    <w:rPr>
      <w:rFonts w:ascii="Times" w:hAnsi="Times"/>
      <w:sz w:val="18"/>
    </w:rPr>
  </w:style>
  <w:style w:type="paragraph" w:styleId="Paragrafoelenco">
    <w:name w:val="List Paragraph"/>
    <w:basedOn w:val="Normale"/>
    <w:uiPriority w:val="34"/>
    <w:qFormat/>
    <w:rsid w:val="00EF5910"/>
    <w:pPr>
      <w:tabs>
        <w:tab w:val="left" w:pos="284"/>
      </w:tabs>
      <w:spacing w:line="220" w:lineRule="exact"/>
      <w:ind w:left="720"/>
      <w:contextualSpacing/>
    </w:pPr>
    <w:rPr>
      <w:rFonts w:eastAsia="Times New Roman"/>
    </w:rPr>
  </w:style>
  <w:style w:type="paragraph" w:styleId="Testofumetto">
    <w:name w:val="Balloon Text"/>
    <w:basedOn w:val="Normale"/>
    <w:link w:val="TestofumettoCarattere"/>
    <w:qFormat/>
    <w:rsid w:val="007B5D76"/>
    <w:pPr>
      <w:spacing w:line="240" w:lineRule="auto"/>
    </w:pPr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qFormat/>
    <w:rsid w:val="002D63DE"/>
    <w:pPr>
      <w:spacing w:beforeAutospacing="1" w:afterAutospacing="1" w:line="240" w:lineRule="auto"/>
      <w:jc w:val="left"/>
    </w:pPr>
    <w:rPr>
      <w:rFonts w:eastAsia="Times New Roman"/>
      <w:sz w:val="24"/>
      <w:lang w:eastAsia="zh-CN"/>
    </w:rPr>
  </w:style>
  <w:style w:type="character" w:styleId="Menzionenonrisolta">
    <w:name w:val="Unresolved Mention"/>
    <w:basedOn w:val="Carpredefinitoparagrafo"/>
    <w:uiPriority w:val="99"/>
    <w:semiHidden/>
    <w:unhideWhenUsed/>
    <w:rsid w:val="0087797B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0A541F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0A541F"/>
    <w:rPr>
      <w:rFonts w:eastAsia="MS Mincho"/>
    </w:rPr>
  </w:style>
  <w:style w:type="character" w:styleId="Rimandonotaapidipagina">
    <w:name w:val="footnote reference"/>
    <w:basedOn w:val="Carpredefinitoparagrafo"/>
    <w:semiHidden/>
    <w:unhideWhenUsed/>
    <w:rsid w:val="000A54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3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mc/articles/PMC3636326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i.org/10.1386/cjcs_000XX_X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ogitatiopress.com/mediaandcommunication/article/view/70/60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1490</Words>
  <Characters>8495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9966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dc:description/>
  <cp:lastModifiedBy>Locci Amedeo</cp:lastModifiedBy>
  <cp:revision>4</cp:revision>
  <cp:lastPrinted>2017-06-06T12:46:00Z</cp:lastPrinted>
  <dcterms:created xsi:type="dcterms:W3CDTF">2023-05-23T14:54:00Z</dcterms:created>
  <dcterms:modified xsi:type="dcterms:W3CDTF">2023-06-23T13:17:00Z</dcterms:modified>
  <dc:language>en-US</dc:language>
</cp:coreProperties>
</file>