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4B9FDFCD" w:rsidR="00100566" w:rsidRDefault="00100566" w:rsidP="00380E7C">
      <w:pPr>
        <w:pStyle w:val="Titolo2"/>
        <w:jc w:val="both"/>
      </w:pPr>
      <w:r w:rsidRPr="00DB09A0">
        <w:t xml:space="preserve">Prof. </w:t>
      </w:r>
      <w:r w:rsidR="002451BB">
        <w:t>Anita Longo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099E9E83" w14:textId="78ADEC9D" w:rsidR="00A54927" w:rsidRPr="009D32F6" w:rsidRDefault="001C366C" w:rsidP="009D32F6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>processi di digital transformation</w:t>
      </w:r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digital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r w:rsidR="00295F87" w:rsidRPr="000C127A">
        <w:rPr>
          <w:i/>
        </w:rPr>
        <w:t>digital marketing</w:t>
      </w:r>
      <w:r w:rsidRPr="000C127A">
        <w:rPr>
          <w:i/>
        </w:rPr>
        <w:t>:</w:t>
      </w:r>
      <w:r w:rsidRPr="00F839EC">
        <w:t xml:space="preserve"> strategie e strumenti di comunicazione e promozione online, customer experience</w:t>
      </w:r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539B57B4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2B1A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071540">
      <w:pPr>
        <w:pStyle w:val="Testo1"/>
        <w:ind w:firstLine="0"/>
      </w:pPr>
      <w:r>
        <w:t>Testo adottato</w:t>
      </w:r>
      <w:r w:rsidR="000C127A">
        <w:t>:</w:t>
      </w:r>
    </w:p>
    <w:p w14:paraId="7A956C95" w14:textId="3B9D74D6" w:rsidR="002A2269" w:rsidRPr="00A52B1A" w:rsidRDefault="002A2269" w:rsidP="00A52B1A">
      <w:pPr>
        <w:rPr>
          <w:i/>
          <w:color w:val="0070C0"/>
          <w:sz w:val="18"/>
          <w:szCs w:val="18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A52B1A">
        <w:rPr>
          <w:smallCaps/>
          <w:sz w:val="16"/>
          <w:szCs w:val="16"/>
        </w:rPr>
        <w:t xml:space="preserve"> </w:t>
      </w:r>
      <w:bookmarkStart w:id="1" w:name="_Hlk138412979"/>
      <w:r w:rsidR="00A52B1A">
        <w:rPr>
          <w:i/>
          <w:color w:val="0070C0"/>
          <w:sz w:val="18"/>
          <w:szCs w:val="18"/>
        </w:rPr>
        <w:fldChar w:fldCharType="begin"/>
      </w:r>
      <w:r w:rsidR="00A52B1A">
        <w:rPr>
          <w:i/>
          <w:color w:val="0070C0"/>
          <w:sz w:val="18"/>
          <w:szCs w:val="18"/>
        </w:rPr>
        <w:instrText xml:space="preserve"> HYPERLINK "https://librerie.unicatt.it/scheda-libro/joseph-valacich-christoph-schneider-andrea-carignani/sistemi-informativi-e-trend-digitali-ediz-mylab-9788891905406-670819.html" </w:instrText>
      </w:r>
      <w:r w:rsidR="00A52B1A">
        <w:rPr>
          <w:i/>
          <w:color w:val="0070C0"/>
          <w:sz w:val="18"/>
          <w:szCs w:val="18"/>
        </w:rPr>
      </w:r>
      <w:r w:rsidR="00A52B1A">
        <w:rPr>
          <w:i/>
          <w:color w:val="0070C0"/>
          <w:sz w:val="18"/>
          <w:szCs w:val="18"/>
        </w:rPr>
        <w:fldChar w:fldCharType="separate"/>
      </w:r>
      <w:r w:rsidR="00A52B1A" w:rsidRPr="00A52B1A">
        <w:rPr>
          <w:rStyle w:val="Collegamentoipertestuale"/>
          <w:i/>
          <w:sz w:val="18"/>
          <w:szCs w:val="18"/>
        </w:rPr>
        <w:t>Acquista da VP</w:t>
      </w:r>
      <w:bookmarkEnd w:id="1"/>
      <w:r w:rsidR="00A52B1A">
        <w:rPr>
          <w:i/>
          <w:color w:val="0070C0"/>
          <w:sz w:val="18"/>
          <w:szCs w:val="18"/>
        </w:rPr>
        <w:fldChar w:fldCharType="end"/>
      </w:r>
      <w:bookmarkStart w:id="2" w:name="_GoBack"/>
      <w:bookmarkEnd w:id="2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73C6A841" w14:textId="77777777" w:rsidR="009D32F6" w:rsidRDefault="009D32F6" w:rsidP="009D32F6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3858026" w14:textId="77777777" w:rsidR="00100566" w:rsidRDefault="00100566" w:rsidP="00100566">
      <w:pPr>
        <w:pStyle w:val="Testo2"/>
      </w:pPr>
      <w:r>
        <w:t>La prova d’esame consiste in un elaborato scritto che include domande aperte e domande a risposta multipla.</w:t>
      </w:r>
    </w:p>
    <w:p w14:paraId="4392189B" w14:textId="77777777" w:rsidR="00100566" w:rsidRDefault="00100566" w:rsidP="00100566">
      <w:pPr>
        <w:pStyle w:val="Testo2"/>
      </w:pPr>
      <w:r>
        <w:t>Le domande saranno differenziate per studenti frequentanti e non frequentanti in base ai seguenti criteri:</w:t>
      </w:r>
    </w:p>
    <w:p w14:paraId="56C6D43D" w14:textId="1D0BA9AA" w:rsidR="00100566" w:rsidRDefault="00100566" w:rsidP="004C6095">
      <w:pPr>
        <w:pStyle w:val="Testo2"/>
        <w:ind w:left="568" w:hanging="284"/>
      </w:pPr>
      <w:r>
        <w:t>–</w:t>
      </w:r>
      <w:r>
        <w:tab/>
        <w:t xml:space="preserve">gli </w:t>
      </w:r>
      <w:r w:rsidRPr="00EA3FAB">
        <w:rPr>
          <w:i/>
        </w:rPr>
        <w:t>studenti frequentanti</w:t>
      </w:r>
      <w:r>
        <w:t xml:space="preserve"> svolgeranno una prova relativa ai contenuti trattati in aula dal docente di riferimento. In questa prova verranno privilegiati i riferimenti agli esempi </w:t>
      </w:r>
      <w:r>
        <w:lastRenderedPageBreak/>
        <w:t>e agli approfondimenti specifici proposti dal docente durante le lezioni.</w:t>
      </w:r>
      <w:r w:rsidR="004C6095">
        <w:t xml:space="preserve"> La prova per frequentanti </w:t>
      </w:r>
      <w:r w:rsidR="00740116">
        <w:t>potrà</w:t>
      </w:r>
      <w:r w:rsidR="004C6095">
        <w:t xml:space="preserve"> esser sostenuta </w:t>
      </w:r>
      <w:r w:rsidR="005C42AB">
        <w:t>al massimo due volte</w:t>
      </w:r>
      <w:r w:rsidR="00740116">
        <w:t>,</w:t>
      </w:r>
      <w:r w:rsidR="004C6095">
        <w:t xml:space="preserve">  il primo</w:t>
      </w:r>
      <w:r w:rsidR="00740116">
        <w:t xml:space="preserve"> o</w:t>
      </w:r>
      <w:r w:rsidR="004C6095">
        <w:t xml:space="preserve"> il secondo o il terzo appello della sessione d’esami di gennaio/febbraio</w:t>
      </w:r>
      <w:r w:rsidR="00740116">
        <w:t xml:space="preserve"> (date alternative). </w:t>
      </w:r>
      <w:r w:rsidR="007A19C1">
        <w:t xml:space="preserve">In caso di non superamento dell’esame (o di rifiuto della votazione conseguita) </w:t>
      </w:r>
      <w:r w:rsidR="005C42AB">
        <w:t xml:space="preserve">in modalità frequentanti per due volte, </w:t>
      </w:r>
      <w:r w:rsidR="007A19C1">
        <w:t>lo st</w:t>
      </w:r>
      <w:r w:rsidR="005C42AB">
        <w:t>u</w:t>
      </w:r>
      <w:r w:rsidR="007A19C1">
        <w:t>dente è tenuto a sostenere nuovamente l’esame secondo la modalità degli studenti non frequentanti</w:t>
      </w:r>
      <w:r w:rsidR="000C127A">
        <w:t>;</w:t>
      </w:r>
    </w:p>
    <w:p w14:paraId="769C32B4" w14:textId="678C1833" w:rsidR="0079626C" w:rsidRDefault="00100566" w:rsidP="00100566">
      <w:pPr>
        <w:pStyle w:val="Testo2"/>
        <w:ind w:left="568" w:hanging="284"/>
      </w:pPr>
      <w:r>
        <w:t>–</w:t>
      </w:r>
      <w:r>
        <w:tab/>
      </w:r>
      <w:r w:rsidR="000C127A">
        <w:t>g</w:t>
      </w:r>
      <w:r>
        <w:t xml:space="preserve">li </w:t>
      </w:r>
      <w:r w:rsidRPr="00EA3FAB">
        <w:rPr>
          <w:i/>
        </w:rPr>
        <w:t>studenti non frequentanti</w:t>
      </w:r>
      <w:r>
        <w:t xml:space="preserve"> svolgeranno una prova</w:t>
      </w:r>
      <w:r w:rsidR="000C127A">
        <w:t xml:space="preserve"> </w:t>
      </w:r>
      <w:r>
        <w:t xml:space="preserve">relativa ai contenuti trattati nel testo adottato. </w:t>
      </w:r>
    </w:p>
    <w:p w14:paraId="24C91183" w14:textId="77BBB1AD" w:rsidR="00100566" w:rsidRDefault="00100566" w:rsidP="00E21E0F">
      <w:pPr>
        <w:pStyle w:val="Testo2"/>
      </w:pPr>
      <w:r>
        <w:t>Informazioni più dettagliate sono disponibili in Blackboard nell’area relativa all’insegnamento.</w:t>
      </w:r>
    </w:p>
    <w:p w14:paraId="2A5C44D9" w14:textId="77777777" w:rsidR="009D32F6" w:rsidRDefault="009D32F6" w:rsidP="009D32F6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7711" w14:textId="77777777" w:rsidR="00450FF2" w:rsidRDefault="00450FF2" w:rsidP="00100566">
      <w:r>
        <w:separator/>
      </w:r>
    </w:p>
  </w:endnote>
  <w:endnote w:type="continuationSeparator" w:id="0">
    <w:p w14:paraId="68E7DEC1" w14:textId="77777777" w:rsidR="00450FF2" w:rsidRDefault="00450FF2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8893" w14:textId="77777777" w:rsidR="00450FF2" w:rsidRDefault="00450FF2" w:rsidP="00100566">
      <w:r>
        <w:separator/>
      </w:r>
    </w:p>
  </w:footnote>
  <w:footnote w:type="continuationSeparator" w:id="0">
    <w:p w14:paraId="0A26CFED" w14:textId="77777777" w:rsidR="00450FF2" w:rsidRDefault="00450FF2" w:rsidP="00100566">
      <w:r>
        <w:continuationSeparator/>
      </w:r>
    </w:p>
  </w:footnote>
  <w:footnote w:id="1">
    <w:p w14:paraId="40A20E59" w14:textId="77777777" w:rsidR="00A52B1A" w:rsidRDefault="00A52B1A" w:rsidP="00A52B1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09807640" w14:textId="197FEA80" w:rsidR="00A52B1A" w:rsidRDefault="00A52B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66"/>
    <w:rsid w:val="00006021"/>
    <w:rsid w:val="00071540"/>
    <w:rsid w:val="000C127A"/>
    <w:rsid w:val="00100566"/>
    <w:rsid w:val="001C366C"/>
    <w:rsid w:val="001D79C2"/>
    <w:rsid w:val="002451BB"/>
    <w:rsid w:val="00274728"/>
    <w:rsid w:val="00295F87"/>
    <w:rsid w:val="002A2269"/>
    <w:rsid w:val="00300DFB"/>
    <w:rsid w:val="00380E7C"/>
    <w:rsid w:val="00450FF2"/>
    <w:rsid w:val="0045556D"/>
    <w:rsid w:val="004B1994"/>
    <w:rsid w:val="004C3918"/>
    <w:rsid w:val="004C6095"/>
    <w:rsid w:val="004D1217"/>
    <w:rsid w:val="004D6008"/>
    <w:rsid w:val="0054006C"/>
    <w:rsid w:val="005C42AB"/>
    <w:rsid w:val="005F6620"/>
    <w:rsid w:val="006339D0"/>
    <w:rsid w:val="00642756"/>
    <w:rsid w:val="006E00BA"/>
    <w:rsid w:val="006F1772"/>
    <w:rsid w:val="00740116"/>
    <w:rsid w:val="00755926"/>
    <w:rsid w:val="00785EFC"/>
    <w:rsid w:val="0079626C"/>
    <w:rsid w:val="007A19C1"/>
    <w:rsid w:val="007E36FB"/>
    <w:rsid w:val="008E0FBF"/>
    <w:rsid w:val="00910727"/>
    <w:rsid w:val="009326CF"/>
    <w:rsid w:val="00940DA2"/>
    <w:rsid w:val="00992F80"/>
    <w:rsid w:val="009D32F6"/>
    <w:rsid w:val="00A52B1A"/>
    <w:rsid w:val="00A54927"/>
    <w:rsid w:val="00AD2911"/>
    <w:rsid w:val="00B41656"/>
    <w:rsid w:val="00B83F23"/>
    <w:rsid w:val="00C46A4D"/>
    <w:rsid w:val="00C65D84"/>
    <w:rsid w:val="00CA30CE"/>
    <w:rsid w:val="00CD6472"/>
    <w:rsid w:val="00DB09A0"/>
    <w:rsid w:val="00DB71FF"/>
    <w:rsid w:val="00DD2395"/>
    <w:rsid w:val="00E21E0F"/>
    <w:rsid w:val="00E96880"/>
    <w:rsid w:val="00F125A9"/>
    <w:rsid w:val="00F839EC"/>
    <w:rsid w:val="00F954D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  <w15:docId w15:val="{13791BF1-58DE-4F24-B31F-EEE8214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52B1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2B1A"/>
  </w:style>
  <w:style w:type="character" w:styleId="Rimandonotaapidipagina">
    <w:name w:val="footnote reference"/>
    <w:basedOn w:val="Carpredefinitoparagrafo"/>
    <w:semiHidden/>
    <w:unhideWhenUsed/>
    <w:rsid w:val="00A52B1A"/>
    <w:rPr>
      <w:vertAlign w:val="superscript"/>
    </w:rPr>
  </w:style>
  <w:style w:type="character" w:styleId="Collegamentoipertestuale">
    <w:name w:val="Hyperlink"/>
    <w:basedOn w:val="Carpredefinitoparagrafo"/>
    <w:unhideWhenUsed/>
    <w:rsid w:val="00A52B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F69B-670C-4903-AEEA-EDA1441A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778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2017-05-23T14:35:00Z</cp:lastPrinted>
  <dcterms:created xsi:type="dcterms:W3CDTF">2022-04-24T14:32:00Z</dcterms:created>
  <dcterms:modified xsi:type="dcterms:W3CDTF">2023-06-23T11:41:00Z</dcterms:modified>
</cp:coreProperties>
</file>