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4E6A" w14:textId="77777777" w:rsidR="0011145C" w:rsidRDefault="0011145C" w:rsidP="0011145C">
      <w:pPr>
        <w:pStyle w:val="Titolo1"/>
      </w:pPr>
      <w:r w:rsidRPr="00F846CF">
        <w:t>Filosofia del diritto</w:t>
      </w:r>
    </w:p>
    <w:p w14:paraId="3DF9F979" w14:textId="77777777" w:rsidR="0011145C" w:rsidRPr="00FF6C48" w:rsidRDefault="0011145C" w:rsidP="0011145C">
      <w:pPr>
        <w:pStyle w:val="Titolo2"/>
        <w:rPr>
          <w:b/>
          <w:i/>
        </w:rPr>
      </w:pPr>
      <w:r w:rsidRPr="00F846CF">
        <w:t>Prof. Giovanni Bombelli</w:t>
      </w:r>
    </w:p>
    <w:p w14:paraId="39E45CF1" w14:textId="77777777" w:rsidR="0011145C" w:rsidRDefault="0011145C" w:rsidP="0011145C">
      <w:pPr>
        <w:spacing w:before="240" w:after="120"/>
        <w:rPr>
          <w:b/>
          <w:sz w:val="18"/>
        </w:rPr>
      </w:pPr>
      <w:r>
        <w:rPr>
          <w:b/>
          <w:i/>
          <w:sz w:val="18"/>
        </w:rPr>
        <w:t>OBIETTIVO DEL CORSO E RISULTATI DI APPRENDIMENTO ATTESI</w:t>
      </w:r>
    </w:p>
    <w:p w14:paraId="08CE560E" w14:textId="77777777" w:rsidR="0011145C" w:rsidRDefault="0011145C" w:rsidP="0011145C">
      <w:pPr>
        <w:rPr>
          <w:rFonts w:ascii="Times" w:hAnsi="Times"/>
          <w:szCs w:val="20"/>
        </w:rPr>
      </w:pPr>
      <w:r>
        <w:rPr>
          <w:rFonts w:ascii="Times" w:hAnsi="Times"/>
          <w:szCs w:val="20"/>
        </w:rPr>
        <w:t xml:space="preserve">L’obiettivo del corso è consentire allo studente di conoscere i temi e le coordinate fondamentali che caratterizzano l’approccio filosofico al diritto, cogliendone la complessità anche alla luce dei corrispondenti sfondi storico-concettuali.  </w:t>
      </w:r>
    </w:p>
    <w:p w14:paraId="6EC81C04" w14:textId="77777777" w:rsidR="0011145C" w:rsidRPr="00B217E2" w:rsidRDefault="0011145C" w:rsidP="0011145C">
      <w:pPr>
        <w:rPr>
          <w:rFonts w:ascii="Times" w:hAnsi="Times"/>
          <w:b/>
          <w:bCs/>
          <w:szCs w:val="20"/>
        </w:rPr>
      </w:pPr>
      <w:r>
        <w:rPr>
          <w:szCs w:val="18"/>
        </w:rPr>
        <w:t>I</w:t>
      </w:r>
      <w:r w:rsidRPr="00F11C3E">
        <w:rPr>
          <w:szCs w:val="18"/>
        </w:rPr>
        <w:t xml:space="preserve">l risultato </w:t>
      </w:r>
      <w:r>
        <w:rPr>
          <w:szCs w:val="18"/>
        </w:rPr>
        <w:t xml:space="preserve">di apprendimento </w:t>
      </w:r>
      <w:r w:rsidRPr="00F11C3E">
        <w:rPr>
          <w:szCs w:val="18"/>
        </w:rPr>
        <w:t>atteso è una conoscenza approfondit</w:t>
      </w:r>
      <w:r>
        <w:rPr>
          <w:szCs w:val="18"/>
        </w:rPr>
        <w:t>a delle questioni filosofico-giuridiche,</w:t>
      </w:r>
      <w:r w:rsidRPr="00F11C3E">
        <w:rPr>
          <w:szCs w:val="18"/>
        </w:rPr>
        <w:t xml:space="preserve"> </w:t>
      </w:r>
      <w:r>
        <w:rPr>
          <w:szCs w:val="18"/>
        </w:rPr>
        <w:t>con riguardo sia al profilo teorico sia alle proiezioni sul piano dell’esperienza giuridica anche in rapporto al complesso contesto odierno. Più precisamente, al termine dell’insegnamento l</w:t>
      </w:r>
      <w:r>
        <w:rPr>
          <w:rFonts w:ascii="Times" w:hAnsi="Times"/>
          <w:szCs w:val="20"/>
        </w:rPr>
        <w:t xml:space="preserve">o studente avrà appreso le categorie </w:t>
      </w:r>
      <w:proofErr w:type="spellStart"/>
      <w:r>
        <w:rPr>
          <w:rFonts w:ascii="Times" w:hAnsi="Times"/>
          <w:szCs w:val="20"/>
        </w:rPr>
        <w:t>gius</w:t>
      </w:r>
      <w:proofErr w:type="spellEnd"/>
      <w:r>
        <w:rPr>
          <w:rFonts w:ascii="Times" w:hAnsi="Times"/>
          <w:szCs w:val="20"/>
        </w:rPr>
        <w:t>-filosofiche fondamentali e approfondito i principali modelli teorico-giuridici, sapendo riarticolare con maggiore competenza le nozioni e i materiali discussi a lezione. Stimolato ad un costante confronto critico con orientamenti teorici differenti, lo studente avrà maturato la capacità di compiere in autonomia valutazioni in ordine a problemi di rilevanza filosofico-giuridica. Tale prospettiva, metodologicamente imperniata sul continuo rilievo conferito ai rapporti logico-sistematici sottesi ai temi discussi, favorirà altresì l’accrescimento delle abilità di apprendimento. Infine, l’acquisizione progressiva di un lessico appropriato, unitamente allo sviluppo della capacità di utilizzare correttamente i moduli argomentativi propri della filosofia del diritto, consentirà allo studente di migliorare le abilità comunicative.</w:t>
      </w:r>
      <w:r>
        <w:rPr>
          <w:rFonts w:ascii="Times" w:hAnsi="Times"/>
          <w:b/>
          <w:bCs/>
          <w:szCs w:val="20"/>
          <w:u w:val="single"/>
        </w:rPr>
        <w:t xml:space="preserve"> </w:t>
      </w:r>
    </w:p>
    <w:p w14:paraId="0DE7C9DB" w14:textId="77777777" w:rsidR="0011145C" w:rsidRDefault="0011145C" w:rsidP="0011145C">
      <w:pPr>
        <w:spacing w:before="240" w:after="120"/>
        <w:rPr>
          <w:b/>
          <w:sz w:val="18"/>
        </w:rPr>
      </w:pPr>
      <w:r>
        <w:rPr>
          <w:b/>
          <w:i/>
          <w:sz w:val="18"/>
        </w:rPr>
        <w:t>PROGRAMMA DEL CORSO</w:t>
      </w:r>
    </w:p>
    <w:p w14:paraId="1037888A" w14:textId="77777777" w:rsidR="0011145C" w:rsidRDefault="0011145C" w:rsidP="0011145C">
      <w:r>
        <w:t xml:space="preserve">Il corso verte su alcune questioni tradizionali della filosofia </w:t>
      </w:r>
      <w:r w:rsidRPr="00F846CF">
        <w:t xml:space="preserve">del </w:t>
      </w:r>
      <w:r>
        <w:t xml:space="preserve">diritto e si articola in due nuclei tematici tra loro connessi. </w:t>
      </w:r>
    </w:p>
    <w:p w14:paraId="3D7DCF87" w14:textId="77777777" w:rsidR="0011145C" w:rsidRDefault="0011145C" w:rsidP="0011145C">
      <w:pPr>
        <w:rPr>
          <w:szCs w:val="20"/>
        </w:rPr>
      </w:pPr>
      <w:r>
        <w:t>Il primo nucleo è dedicato all’analisi di categorie, istituti e modelli teorici “classici”: concetto di “filosofia del diritto”; giustificazione della nozione di “obbligo” giuridico (nella polarità giusnaturalismo vs. convenzionalismo); processi di tipizzazione e ambiti giuridici; dinamiche di legittimazione politico-istituzionale</w:t>
      </w:r>
      <w:r>
        <w:rPr>
          <w:szCs w:val="20"/>
        </w:rPr>
        <w:t xml:space="preserve"> (in particolare la figura dello “Stato”); i</w:t>
      </w:r>
      <w:r w:rsidRPr="000E73C5">
        <w:rPr>
          <w:szCs w:val="20"/>
        </w:rPr>
        <w:t xml:space="preserve">dea di </w:t>
      </w:r>
      <w:r>
        <w:rPr>
          <w:szCs w:val="20"/>
        </w:rPr>
        <w:t>“</w:t>
      </w:r>
      <w:r w:rsidRPr="000E73C5">
        <w:rPr>
          <w:szCs w:val="20"/>
        </w:rPr>
        <w:t>norma</w:t>
      </w:r>
      <w:r>
        <w:rPr>
          <w:szCs w:val="20"/>
        </w:rPr>
        <w:t xml:space="preserve"> giuridica” e relativi modelli di fondazione inclusivi del problema della sanzione; concetto di “ordinamento”; rapporto tra diritto, forma linguistica e interpretazione; nozione di “istituzione”. </w:t>
      </w:r>
    </w:p>
    <w:p w14:paraId="1E8F4D21" w14:textId="77777777" w:rsidR="0011145C" w:rsidRPr="00CF0429" w:rsidRDefault="0011145C" w:rsidP="0011145C">
      <w:r>
        <w:rPr>
          <w:szCs w:val="20"/>
        </w:rPr>
        <w:t xml:space="preserve">Nel secondo nucleo si proporrà una </w:t>
      </w:r>
      <w:proofErr w:type="spellStart"/>
      <w:r>
        <w:rPr>
          <w:szCs w:val="20"/>
        </w:rPr>
        <w:t>problematizzazione</w:t>
      </w:r>
      <w:proofErr w:type="spellEnd"/>
      <w:r>
        <w:rPr>
          <w:szCs w:val="20"/>
        </w:rPr>
        <w:t xml:space="preserve"> critica del precedente quadro concettuale, soffermandosi sia su ulteriori modelli teorici (imperativismo, positivismo, realismo) sia sull’odierna tenuta di alcuni paradigmi tradizionali con i riflessi conseguenti in chiave fondativa (binomio norma-ordinamento) e </w:t>
      </w:r>
      <w:r>
        <w:rPr>
          <w:szCs w:val="20"/>
        </w:rPr>
        <w:lastRenderedPageBreak/>
        <w:t>interpretativo-giurisprudenziale (ruolo delle Corti)</w:t>
      </w:r>
      <w:r>
        <w:t xml:space="preserve">. Particolare attenzione verrà dedicata </w:t>
      </w:r>
      <w:r w:rsidRPr="00CF0429">
        <w:t>al</w:t>
      </w:r>
      <w:r>
        <w:t>la nozione di consuetudine giuridica</w:t>
      </w:r>
      <w:r w:rsidRPr="00CF0429">
        <w:t xml:space="preserve"> e</w:t>
      </w:r>
      <w:r>
        <w:t xml:space="preserve"> alla sua progressiva riconfigurazione</w:t>
      </w:r>
      <w:r w:rsidRPr="00CF0429">
        <w:t>.</w:t>
      </w:r>
    </w:p>
    <w:p w14:paraId="7A8EB1B8" w14:textId="1C26A39E" w:rsidR="0011145C" w:rsidRPr="00CF0429" w:rsidRDefault="0011145C" w:rsidP="0011145C">
      <w:pPr>
        <w:spacing w:before="240" w:after="120" w:line="220" w:lineRule="exact"/>
        <w:rPr>
          <w:i/>
          <w:sz w:val="18"/>
        </w:rPr>
      </w:pPr>
      <w:r w:rsidRPr="0011145C">
        <w:rPr>
          <w:b/>
          <w:bCs/>
          <w:i/>
          <w:sz w:val="18"/>
        </w:rPr>
        <w:t>BIBLIOGRAFIA</w:t>
      </w:r>
      <w:r w:rsidR="008517DE">
        <w:rPr>
          <w:rStyle w:val="Rimandonotaapidipagina"/>
          <w:b/>
          <w:bCs/>
          <w:i/>
          <w:sz w:val="18"/>
        </w:rPr>
        <w:footnoteReference w:id="1"/>
      </w:r>
    </w:p>
    <w:p w14:paraId="4F44CBAA" w14:textId="77777777" w:rsidR="0011145C" w:rsidRPr="00FF6C48" w:rsidRDefault="0011145C" w:rsidP="0011145C">
      <w:pPr>
        <w:pStyle w:val="Testo1"/>
        <w:rPr>
          <w:i/>
        </w:rPr>
      </w:pPr>
      <w:r>
        <w:rPr>
          <w:i/>
        </w:rPr>
        <w:t>Per gli studenti</w:t>
      </w:r>
      <w:r w:rsidRPr="00FF6C48">
        <w:rPr>
          <w:i/>
        </w:rPr>
        <w:t xml:space="preserve"> frequentanti:</w:t>
      </w:r>
    </w:p>
    <w:p w14:paraId="1D462149" w14:textId="77777777" w:rsidR="0011145C" w:rsidRPr="00FF6C48" w:rsidRDefault="0011145C" w:rsidP="0011145C">
      <w:pPr>
        <w:pStyle w:val="Testo1"/>
        <w:spacing w:before="0" w:line="240" w:lineRule="atLeast"/>
        <w:contextualSpacing/>
      </w:pPr>
      <w:r w:rsidRPr="00FF6C48">
        <w:t>1.</w:t>
      </w:r>
      <w:r w:rsidRPr="00FF6C48">
        <w:tab/>
        <w:t>Materiale spi</w:t>
      </w:r>
      <w:r>
        <w:t>egato a lezione e</w:t>
      </w:r>
      <w:r w:rsidRPr="00FF6C48">
        <w:t xml:space="preserve"> res</w:t>
      </w:r>
      <w:r>
        <w:t>o disponibile online sul</w:t>
      </w:r>
      <w:r w:rsidRPr="00FF6C48">
        <w:t>la piattaforma blackboard.</w:t>
      </w:r>
    </w:p>
    <w:p w14:paraId="2677AFE8" w14:textId="1842D678" w:rsidR="0011145C" w:rsidRPr="00FF6C48" w:rsidRDefault="0011145C" w:rsidP="0011145C">
      <w:pPr>
        <w:pStyle w:val="Testo1"/>
        <w:spacing w:line="240" w:lineRule="atLeast"/>
        <w:contextualSpacing/>
      </w:pPr>
      <w:r w:rsidRPr="00FF6C48">
        <w:t>2.</w:t>
      </w:r>
      <w:r w:rsidRPr="00FF6C48">
        <w:tab/>
      </w:r>
      <w:r w:rsidRPr="006A6FA8">
        <w:rPr>
          <w:smallCaps/>
          <w:spacing w:val="-5"/>
          <w:sz w:val="16"/>
        </w:rPr>
        <w:t>A. Andronico-T. Greco-F. Macioce</w:t>
      </w:r>
      <w:r>
        <w:rPr>
          <w:smallCaps/>
          <w:spacing w:val="-5"/>
          <w:sz w:val="16"/>
        </w:rPr>
        <w:t xml:space="preserve"> </w:t>
      </w:r>
      <w:r>
        <w:t xml:space="preserve">(a cura di), </w:t>
      </w:r>
      <w:r w:rsidRPr="006A6FA8">
        <w:rPr>
          <w:i/>
          <w:spacing w:val="-5"/>
        </w:rPr>
        <w:t>Dimensioni del diritto</w:t>
      </w:r>
      <w:r>
        <w:t xml:space="preserve">, Giappichelli, Torino, 2019. </w:t>
      </w:r>
      <w:hyperlink r:id="rId8" w:history="1">
        <w:r w:rsidR="008517DE" w:rsidRPr="008517DE">
          <w:rPr>
            <w:rStyle w:val="Collegamentoipertestuale"/>
            <w:rFonts w:ascii="Times New Roman" w:hAnsi="Times New Roman"/>
            <w:i/>
            <w:szCs w:val="18"/>
          </w:rPr>
          <w:t>Acquista da VP</w:t>
        </w:r>
      </w:hyperlink>
      <w:r w:rsidR="008517DE" w:rsidRPr="00EC0896">
        <w:rPr>
          <w:b/>
        </w:rPr>
        <w:t xml:space="preserve"> </w:t>
      </w:r>
      <w:r w:rsidRPr="00EC0896">
        <w:rPr>
          <w:b/>
        </w:rPr>
        <w:t>Di questo volume vanno</w:t>
      </w:r>
      <w:r>
        <w:rPr>
          <w:b/>
        </w:rPr>
        <w:t xml:space="preserve"> studiati i capitoli: 1 (Giustizia), 2 (Potere), 4 (Società), 5 (Libertà), 6 (Eguaglianza), 9 (Fatto), 11 (Linguaggio), 12 (Retorica) e 18 (Humanities)  </w:t>
      </w:r>
    </w:p>
    <w:p w14:paraId="58A42E92" w14:textId="77777777" w:rsidR="0011145C" w:rsidRDefault="0011145C" w:rsidP="0011145C">
      <w:pPr>
        <w:pStyle w:val="Testo1"/>
        <w:spacing w:before="0" w:line="240" w:lineRule="atLeast"/>
        <w:rPr>
          <w:b/>
          <w:bCs/>
        </w:rPr>
      </w:pPr>
      <w:r w:rsidRPr="00BD36E4">
        <w:t>3.</w:t>
      </w:r>
      <w:r w:rsidRPr="00FF6C48">
        <w:rPr>
          <w:smallCaps/>
          <w:spacing w:val="-5"/>
          <w:sz w:val="16"/>
        </w:rPr>
        <w:tab/>
      </w:r>
      <w:r>
        <w:rPr>
          <w:b/>
          <w:bCs/>
        </w:rPr>
        <w:t xml:space="preserve">Di questo volume vanno studiati i seguenti capitoli: </w:t>
      </w:r>
    </w:p>
    <w:p w14:paraId="2D9B8855" w14:textId="77777777" w:rsidR="0011145C" w:rsidRPr="00411B1E" w:rsidRDefault="0011145C" w:rsidP="0011145C">
      <w:pPr>
        <w:pStyle w:val="Testo1"/>
        <w:spacing w:before="0" w:line="240" w:lineRule="atLeast"/>
        <w:ind w:firstLine="0"/>
        <w:rPr>
          <w:b/>
          <w:bCs/>
        </w:rPr>
      </w:pPr>
      <w:r>
        <w:rPr>
          <w:b/>
          <w:bCs/>
        </w:rPr>
        <w:t>P. Di Lucia</w:t>
      </w:r>
      <w:r w:rsidRPr="00BF0183">
        <w:t xml:space="preserve"> </w:t>
      </w:r>
      <w:r w:rsidRPr="00BF0183">
        <w:rPr>
          <w:i/>
          <w:iCs/>
        </w:rPr>
        <w:t>Il mistero della consuetudine. Rileggendo Bobbio filosofo della normatività</w:t>
      </w:r>
      <w:r>
        <w:t xml:space="preserve"> </w:t>
      </w:r>
    </w:p>
    <w:p w14:paraId="42C9F0EE" w14:textId="77777777" w:rsidR="0011145C" w:rsidRPr="00BF0183" w:rsidRDefault="0011145C" w:rsidP="0011145C">
      <w:pPr>
        <w:pStyle w:val="Testo1"/>
        <w:spacing w:before="0" w:line="240" w:lineRule="atLeast"/>
        <w:ind w:firstLine="0"/>
        <w:rPr>
          <w:b/>
          <w:bCs/>
          <w:i/>
          <w:iCs/>
        </w:rPr>
      </w:pPr>
      <w:r>
        <w:rPr>
          <w:b/>
          <w:bCs/>
        </w:rPr>
        <w:t>T. Gazzolo</w:t>
      </w:r>
      <w:r w:rsidRPr="00BF0183">
        <w:t xml:space="preserve"> </w:t>
      </w:r>
      <w:r w:rsidRPr="00BF0183">
        <w:rPr>
          <w:i/>
          <w:iCs/>
        </w:rPr>
        <w:t>La consuetudine origine del diritto?</w:t>
      </w:r>
    </w:p>
    <w:p w14:paraId="582CC24F" w14:textId="77777777" w:rsidR="0011145C" w:rsidRPr="00BF0183" w:rsidRDefault="0011145C" w:rsidP="0011145C">
      <w:pPr>
        <w:pStyle w:val="Testo1"/>
        <w:spacing w:before="0" w:line="240" w:lineRule="atLeast"/>
        <w:ind w:firstLine="0"/>
        <w:rPr>
          <w:b/>
          <w:bCs/>
          <w:i/>
          <w:iCs/>
        </w:rPr>
      </w:pPr>
      <w:r>
        <w:rPr>
          <w:b/>
          <w:bCs/>
        </w:rPr>
        <w:t>G. Bombelli</w:t>
      </w:r>
      <w:r w:rsidRPr="00BF0183">
        <w:t xml:space="preserve"> </w:t>
      </w:r>
      <w:r w:rsidRPr="00BF0183">
        <w:rPr>
          <w:i/>
          <w:iCs/>
        </w:rPr>
        <w:t>Consuetudine. Su alcuni profili cognitivi</w:t>
      </w:r>
    </w:p>
    <w:p w14:paraId="48274776" w14:textId="77777777" w:rsidR="0011145C" w:rsidRPr="00BF0183" w:rsidRDefault="0011145C" w:rsidP="0011145C">
      <w:pPr>
        <w:pStyle w:val="Testo1"/>
        <w:spacing w:before="0" w:line="240" w:lineRule="atLeast"/>
        <w:ind w:firstLine="0"/>
        <w:rPr>
          <w:b/>
          <w:bCs/>
          <w:i/>
          <w:iCs/>
        </w:rPr>
      </w:pPr>
      <w:r>
        <w:rPr>
          <w:b/>
          <w:bCs/>
        </w:rPr>
        <w:t>A. Sammassimo</w:t>
      </w:r>
      <w:r w:rsidRPr="00BF0183">
        <w:t xml:space="preserve"> </w:t>
      </w:r>
      <w:r w:rsidRPr="00BF0183">
        <w:rPr>
          <w:i/>
          <w:iCs/>
        </w:rPr>
        <w:t>Aspetti peculiari della consuetudine nel diritto canonico</w:t>
      </w:r>
    </w:p>
    <w:p w14:paraId="25ED4FE3" w14:textId="77777777" w:rsidR="0011145C" w:rsidRPr="00BF0183" w:rsidRDefault="0011145C" w:rsidP="0011145C">
      <w:pPr>
        <w:pStyle w:val="Testo1"/>
        <w:spacing w:before="0" w:line="240" w:lineRule="atLeast"/>
        <w:ind w:firstLine="0"/>
        <w:rPr>
          <w:b/>
          <w:bCs/>
          <w:i/>
          <w:iCs/>
          <w:spacing w:val="-5"/>
        </w:rPr>
      </w:pPr>
      <w:r>
        <w:rPr>
          <w:b/>
          <w:bCs/>
        </w:rPr>
        <w:t>L. Cornacchia</w:t>
      </w:r>
      <w:r w:rsidRPr="00BF0183">
        <w:t xml:space="preserve"> </w:t>
      </w:r>
      <w:r w:rsidRPr="00BF0183">
        <w:rPr>
          <w:i/>
          <w:iCs/>
        </w:rPr>
        <w:t>Consuetudine e Law in Action in diritto penale</w:t>
      </w:r>
    </w:p>
    <w:p w14:paraId="4F304BCB" w14:textId="77777777" w:rsidR="0011145C" w:rsidRPr="00FF6C48" w:rsidRDefault="0011145C" w:rsidP="0011145C">
      <w:pPr>
        <w:pStyle w:val="Testo1"/>
        <w:spacing w:line="240" w:lineRule="auto"/>
        <w:rPr>
          <w:i/>
          <w:spacing w:val="-5"/>
        </w:rPr>
      </w:pPr>
      <w:r>
        <w:rPr>
          <w:i/>
          <w:spacing w:val="-5"/>
        </w:rPr>
        <w:t>Per gli studenti</w:t>
      </w:r>
      <w:r w:rsidRPr="00FF6C48">
        <w:rPr>
          <w:i/>
          <w:spacing w:val="-5"/>
        </w:rPr>
        <w:t xml:space="preserve"> non frequentanti:</w:t>
      </w:r>
    </w:p>
    <w:p w14:paraId="0AD890A7" w14:textId="71742BA6" w:rsidR="0011145C" w:rsidRPr="00FF6C48" w:rsidRDefault="0011145C" w:rsidP="0011145C">
      <w:pPr>
        <w:pStyle w:val="Testo1"/>
        <w:spacing w:line="240" w:lineRule="auto"/>
        <w:contextualSpacing/>
      </w:pPr>
      <w:r w:rsidRPr="00BD36E4">
        <w:t>1.</w:t>
      </w:r>
      <w:r w:rsidRPr="00BD36E4">
        <w:tab/>
      </w:r>
      <w:r w:rsidRPr="006A6FA8">
        <w:rPr>
          <w:smallCaps/>
          <w:spacing w:val="-5"/>
          <w:sz w:val="16"/>
        </w:rPr>
        <w:t>A. Andronico-T. Greco-F. Macioce</w:t>
      </w:r>
      <w:r>
        <w:rPr>
          <w:smallCaps/>
          <w:spacing w:val="-5"/>
          <w:sz w:val="16"/>
        </w:rPr>
        <w:t xml:space="preserve"> </w:t>
      </w:r>
      <w:r>
        <w:t xml:space="preserve">(a cura di), </w:t>
      </w:r>
      <w:r w:rsidRPr="006A6FA8">
        <w:rPr>
          <w:i/>
          <w:spacing w:val="-5"/>
        </w:rPr>
        <w:t>Dimensioni del diritto</w:t>
      </w:r>
      <w:r>
        <w:t xml:space="preserve">, Giappichelli, Torino, 2019. </w:t>
      </w:r>
      <w:r>
        <w:rPr>
          <w:b/>
        </w:rPr>
        <w:t>Questo volume va studiato integralmente</w:t>
      </w:r>
      <w:r>
        <w:t>.</w:t>
      </w:r>
      <w:r w:rsidRPr="00FF6C48">
        <w:t xml:space="preserve"> </w:t>
      </w:r>
      <w:hyperlink r:id="rId9" w:history="1">
        <w:r w:rsidR="008517DE" w:rsidRPr="008517DE">
          <w:rPr>
            <w:rStyle w:val="Collegamentoipertestuale"/>
            <w:rFonts w:ascii="Times New Roman" w:hAnsi="Times New Roman"/>
            <w:i/>
            <w:szCs w:val="18"/>
          </w:rPr>
          <w:t>Acquista da VP</w:t>
        </w:r>
      </w:hyperlink>
    </w:p>
    <w:p w14:paraId="31320B58" w14:textId="6480F0F5" w:rsidR="0011145C" w:rsidRDefault="0011145C" w:rsidP="0011145C">
      <w:pPr>
        <w:pStyle w:val="Testo1"/>
        <w:spacing w:before="0" w:line="240" w:lineRule="atLeast"/>
        <w:rPr>
          <w:b/>
          <w:bCs/>
        </w:rPr>
      </w:pPr>
      <w:r w:rsidRPr="00FF6C48">
        <w:t>2.</w:t>
      </w:r>
      <w:r w:rsidRPr="00FF6C48">
        <w:tab/>
      </w:r>
      <w:r>
        <w:t xml:space="preserve">G. Bombelli-P. Heritier (a cura di), </w:t>
      </w:r>
      <w:r>
        <w:rPr>
          <w:i/>
          <w:iCs/>
        </w:rPr>
        <w:t>I volti molteplici della consuetudine</w:t>
      </w:r>
      <w:r>
        <w:t>, Mimesis, Milano-Udine, 2022.</w:t>
      </w:r>
      <w:r w:rsidR="008517DE">
        <w:t xml:space="preserve"> </w:t>
      </w:r>
      <w:hyperlink r:id="rId10" w:history="1">
        <w:r w:rsidR="008517DE" w:rsidRPr="008517DE">
          <w:rPr>
            <w:rStyle w:val="Collegamentoipertestuale"/>
            <w:rFonts w:ascii="Times New Roman" w:hAnsi="Times New Roman"/>
            <w:i/>
            <w:szCs w:val="18"/>
          </w:rPr>
          <w:t>Acquista da VP</w:t>
        </w:r>
      </w:hyperlink>
      <w:r>
        <w:t xml:space="preserve"> </w:t>
      </w:r>
      <w:r>
        <w:rPr>
          <w:b/>
          <w:bCs/>
        </w:rPr>
        <w:t xml:space="preserve">Di questo volume vanno studiati i seguenti capitoli: </w:t>
      </w:r>
    </w:p>
    <w:p w14:paraId="67E9FD0B" w14:textId="77777777" w:rsidR="0011145C" w:rsidRPr="00BF0183" w:rsidRDefault="0011145C" w:rsidP="0011145C">
      <w:pPr>
        <w:pStyle w:val="Testo1"/>
        <w:spacing w:before="0" w:line="240" w:lineRule="atLeast"/>
        <w:ind w:firstLine="0"/>
        <w:rPr>
          <w:b/>
          <w:bCs/>
          <w:i/>
          <w:iCs/>
        </w:rPr>
      </w:pPr>
      <w:r>
        <w:rPr>
          <w:b/>
          <w:bCs/>
        </w:rPr>
        <w:t>P. Di Lucia</w:t>
      </w:r>
      <w:r w:rsidRPr="00BF0183">
        <w:t xml:space="preserve"> </w:t>
      </w:r>
      <w:r w:rsidRPr="00BF0183">
        <w:rPr>
          <w:i/>
          <w:iCs/>
        </w:rPr>
        <w:t>Il mistero della consuetudine. Rileggendo Bobbio filosofo della normatività</w:t>
      </w:r>
    </w:p>
    <w:p w14:paraId="169D732E" w14:textId="77777777" w:rsidR="0011145C" w:rsidRDefault="0011145C" w:rsidP="0011145C">
      <w:pPr>
        <w:pStyle w:val="Testo1"/>
        <w:spacing w:before="0" w:line="240" w:lineRule="atLeast"/>
        <w:ind w:firstLine="0"/>
        <w:rPr>
          <w:b/>
          <w:bCs/>
        </w:rPr>
      </w:pPr>
      <w:r>
        <w:rPr>
          <w:b/>
          <w:bCs/>
        </w:rPr>
        <w:t>T. Gazzolo</w:t>
      </w:r>
      <w:r w:rsidRPr="00BF0183">
        <w:t xml:space="preserve"> </w:t>
      </w:r>
      <w:r w:rsidRPr="00BF0183">
        <w:rPr>
          <w:i/>
          <w:iCs/>
        </w:rPr>
        <w:t>La consuetudine origine del diritto?</w:t>
      </w:r>
    </w:p>
    <w:p w14:paraId="31585991" w14:textId="77777777" w:rsidR="0011145C" w:rsidRDefault="0011145C" w:rsidP="0011145C">
      <w:pPr>
        <w:pStyle w:val="Testo1"/>
        <w:spacing w:before="0" w:line="240" w:lineRule="atLeast"/>
        <w:ind w:firstLine="0"/>
        <w:rPr>
          <w:b/>
          <w:bCs/>
        </w:rPr>
      </w:pPr>
      <w:r>
        <w:rPr>
          <w:b/>
          <w:bCs/>
        </w:rPr>
        <w:t>G. Bombelli</w:t>
      </w:r>
      <w:r w:rsidRPr="00BF0183">
        <w:t xml:space="preserve"> </w:t>
      </w:r>
      <w:r w:rsidRPr="00BF0183">
        <w:rPr>
          <w:i/>
          <w:iCs/>
        </w:rPr>
        <w:t>Consuetudine. Su alcuni profili cognitivi</w:t>
      </w:r>
    </w:p>
    <w:p w14:paraId="2570EFD0" w14:textId="77777777" w:rsidR="0011145C" w:rsidRDefault="0011145C" w:rsidP="0011145C">
      <w:pPr>
        <w:pStyle w:val="Testo1"/>
        <w:spacing w:before="0" w:line="240" w:lineRule="atLeast"/>
        <w:ind w:firstLine="0"/>
        <w:rPr>
          <w:b/>
          <w:bCs/>
        </w:rPr>
      </w:pPr>
      <w:r>
        <w:rPr>
          <w:b/>
          <w:bCs/>
        </w:rPr>
        <w:t>A. Sammassimo</w:t>
      </w:r>
      <w:r w:rsidRPr="00BF0183">
        <w:t xml:space="preserve"> </w:t>
      </w:r>
      <w:r w:rsidRPr="00BF0183">
        <w:rPr>
          <w:i/>
          <w:iCs/>
        </w:rPr>
        <w:t>Aspetti peculiari della consuetudine nel diritto canonico</w:t>
      </w:r>
    </w:p>
    <w:p w14:paraId="78ACB3C2" w14:textId="77777777" w:rsidR="0011145C" w:rsidRPr="00BF0183" w:rsidRDefault="0011145C" w:rsidP="0011145C">
      <w:pPr>
        <w:pStyle w:val="Testo1"/>
        <w:spacing w:before="0" w:line="240" w:lineRule="atLeast"/>
        <w:ind w:firstLine="0"/>
        <w:rPr>
          <w:b/>
          <w:bCs/>
          <w:i/>
          <w:iCs/>
        </w:rPr>
      </w:pPr>
      <w:r>
        <w:rPr>
          <w:b/>
          <w:bCs/>
        </w:rPr>
        <w:t>L. Cornacchia</w:t>
      </w:r>
      <w:r w:rsidRPr="00BF0183">
        <w:t xml:space="preserve"> </w:t>
      </w:r>
      <w:r w:rsidRPr="00BF0183">
        <w:rPr>
          <w:i/>
          <w:iCs/>
        </w:rPr>
        <w:t xml:space="preserve">Consuetudine e </w:t>
      </w:r>
      <w:r w:rsidRPr="00BF0183">
        <w:t>Law in Action</w:t>
      </w:r>
      <w:r w:rsidRPr="00BF0183">
        <w:rPr>
          <w:i/>
          <w:iCs/>
        </w:rPr>
        <w:t xml:space="preserve"> in diritto penale</w:t>
      </w:r>
    </w:p>
    <w:p w14:paraId="14791855" w14:textId="77777777" w:rsidR="0011145C" w:rsidRPr="00BF0183" w:rsidRDefault="0011145C" w:rsidP="0011145C">
      <w:pPr>
        <w:pStyle w:val="Testo1"/>
        <w:spacing w:before="0" w:line="240" w:lineRule="atLeast"/>
        <w:ind w:firstLine="0"/>
        <w:rPr>
          <w:b/>
          <w:bCs/>
          <w:i/>
          <w:iCs/>
        </w:rPr>
      </w:pPr>
      <w:r>
        <w:rPr>
          <w:b/>
          <w:bCs/>
        </w:rPr>
        <w:t>Pollastro</w:t>
      </w:r>
      <w:r w:rsidRPr="00BF0183">
        <w:t xml:space="preserve"> </w:t>
      </w:r>
      <w:r w:rsidRPr="00BF0183">
        <w:rPr>
          <w:i/>
          <w:iCs/>
        </w:rPr>
        <w:t>La consuetudine: un’araba fenice</w:t>
      </w:r>
    </w:p>
    <w:p w14:paraId="04A73C4A" w14:textId="77777777" w:rsidR="0011145C" w:rsidRPr="00BF0183" w:rsidRDefault="0011145C" w:rsidP="0011145C">
      <w:pPr>
        <w:pStyle w:val="Testo1"/>
        <w:spacing w:before="0" w:line="240" w:lineRule="atLeast"/>
        <w:ind w:firstLine="0"/>
        <w:rPr>
          <w:b/>
          <w:bCs/>
          <w:i/>
          <w:iCs/>
        </w:rPr>
      </w:pPr>
      <w:r>
        <w:rPr>
          <w:b/>
          <w:bCs/>
        </w:rPr>
        <w:t>Rizzello</w:t>
      </w:r>
      <w:r w:rsidRPr="00BF0183">
        <w:t xml:space="preserve"> </w:t>
      </w:r>
      <w:r w:rsidRPr="00BF0183">
        <w:rPr>
          <w:i/>
          <w:iCs/>
        </w:rPr>
        <w:t xml:space="preserve">Consuetudine e </w:t>
      </w:r>
      <w:r w:rsidRPr="00BF0183">
        <w:t>path dependence</w:t>
      </w:r>
      <w:r w:rsidRPr="00BF0183">
        <w:rPr>
          <w:i/>
          <w:iCs/>
        </w:rPr>
        <w:t xml:space="preserve"> in economia</w:t>
      </w:r>
    </w:p>
    <w:p w14:paraId="1EC09A55" w14:textId="77777777" w:rsidR="0011145C" w:rsidRPr="00971196" w:rsidRDefault="0011145C" w:rsidP="0011145C">
      <w:pPr>
        <w:pStyle w:val="Testo1"/>
        <w:spacing w:before="0" w:line="240" w:lineRule="atLeast"/>
        <w:ind w:firstLine="0"/>
        <w:rPr>
          <w:b/>
          <w:bCs/>
          <w:spacing w:val="-5"/>
        </w:rPr>
      </w:pPr>
      <w:r>
        <w:rPr>
          <w:b/>
          <w:bCs/>
        </w:rPr>
        <w:t>Siniscalchi</w:t>
      </w:r>
      <w:r w:rsidRPr="00BF0183">
        <w:t xml:space="preserve"> </w:t>
      </w:r>
      <w:r w:rsidRPr="00BF0183">
        <w:rPr>
          <w:i/>
          <w:iCs/>
        </w:rPr>
        <w:t>La normatività del normale</w:t>
      </w:r>
    </w:p>
    <w:p w14:paraId="7944734F" w14:textId="77777777" w:rsidR="0011145C" w:rsidRPr="00EC0896" w:rsidRDefault="0011145C" w:rsidP="0011145C">
      <w:pPr>
        <w:pStyle w:val="Testo1"/>
      </w:pPr>
      <w:r w:rsidRPr="00FF6C48">
        <w:t xml:space="preserve">N.B. </w:t>
      </w:r>
      <w:r>
        <w:rPr>
          <w:i/>
          <w:spacing w:val="-5"/>
        </w:rPr>
        <w:t>Gli studenti di</w:t>
      </w:r>
      <w:r w:rsidRPr="00FF6C48">
        <w:rPr>
          <w:i/>
          <w:spacing w:val="-5"/>
        </w:rPr>
        <w:t xml:space="preserve"> altri ann</w:t>
      </w:r>
      <w:r>
        <w:rPr>
          <w:i/>
          <w:spacing w:val="-5"/>
        </w:rPr>
        <w:t>i di corso si prepareranno sul</w:t>
      </w:r>
      <w:r w:rsidRPr="00FF6C48">
        <w:rPr>
          <w:i/>
          <w:spacing w:val="-5"/>
        </w:rPr>
        <w:t xml:space="preserve"> </w:t>
      </w:r>
      <w:r>
        <w:rPr>
          <w:i/>
          <w:spacing w:val="-5"/>
        </w:rPr>
        <w:t>programma del corrispondente anno</w:t>
      </w:r>
      <w:r w:rsidRPr="00FF6C48">
        <w:rPr>
          <w:i/>
          <w:spacing w:val="-5"/>
        </w:rPr>
        <w:t xml:space="preserve"> di frequenza</w:t>
      </w:r>
      <w:r>
        <w:t xml:space="preserve"> (per programmi precedenti all’a.a. 2021-2022 rivolgersi all’Ufficio guide). </w:t>
      </w:r>
      <w:r>
        <w:rPr>
          <w:i/>
          <w:spacing w:val="-5"/>
        </w:rPr>
        <w:t>G</w:t>
      </w:r>
      <w:r w:rsidRPr="00FF6C48">
        <w:rPr>
          <w:i/>
          <w:spacing w:val="-5"/>
        </w:rPr>
        <w:t>li studenti di al</w:t>
      </w:r>
      <w:r>
        <w:rPr>
          <w:i/>
          <w:spacing w:val="-5"/>
        </w:rPr>
        <w:t>tre Facoltà sono invitati a</w:t>
      </w:r>
      <w:r w:rsidRPr="00FF6C48">
        <w:rPr>
          <w:i/>
          <w:spacing w:val="-5"/>
        </w:rPr>
        <w:t xml:space="preserve"> contattare il docente per</w:t>
      </w:r>
      <w:r>
        <w:rPr>
          <w:i/>
          <w:spacing w:val="-5"/>
        </w:rPr>
        <w:t xml:space="preserve"> definire il programma</w:t>
      </w:r>
      <w:r w:rsidRPr="00FF6C48">
        <w:rPr>
          <w:i/>
          <w:spacing w:val="-5"/>
        </w:rPr>
        <w:t xml:space="preserve">. </w:t>
      </w:r>
    </w:p>
    <w:p w14:paraId="5208A625" w14:textId="77777777" w:rsidR="0011145C" w:rsidRDefault="0011145C" w:rsidP="0011145C">
      <w:pPr>
        <w:spacing w:before="240" w:after="120" w:line="220" w:lineRule="exact"/>
        <w:rPr>
          <w:b/>
          <w:i/>
          <w:sz w:val="18"/>
        </w:rPr>
      </w:pPr>
      <w:r>
        <w:rPr>
          <w:b/>
          <w:i/>
          <w:sz w:val="18"/>
        </w:rPr>
        <w:t>DIDATTICA DEL CORSO</w:t>
      </w:r>
    </w:p>
    <w:p w14:paraId="30DAAA71" w14:textId="77777777" w:rsidR="0011145C" w:rsidRDefault="0011145C" w:rsidP="0011145C">
      <w:pPr>
        <w:pStyle w:val="Testo2"/>
      </w:pPr>
      <w:r>
        <w:lastRenderedPageBreak/>
        <w:t>I</w:t>
      </w:r>
      <w:r w:rsidRPr="00FF6C48">
        <w:t>l corso prevede lezioni in aula</w:t>
      </w:r>
      <w:r>
        <w:t>,</w:t>
      </w:r>
      <w:r w:rsidRPr="00FF6C48">
        <w:t xml:space="preserve"> </w:t>
      </w:r>
      <w:r>
        <w:t>a carattere fortemente dialogico, in cui verranno proposti</w:t>
      </w:r>
      <w:r w:rsidRPr="00FF6C48">
        <w:t xml:space="preserve"> material</w:t>
      </w:r>
      <w:r>
        <w:t>i di approfondimento</w:t>
      </w:r>
      <w:r w:rsidRPr="00FF6C48">
        <w:t xml:space="preserve"> res</w:t>
      </w:r>
      <w:r>
        <w:t>i</w:t>
      </w:r>
      <w:r w:rsidRPr="00FF6C48">
        <w:t xml:space="preserve"> disponibil</w:t>
      </w:r>
      <w:r>
        <w:t>i anche sulla piattaforma</w:t>
      </w:r>
      <w:r w:rsidRPr="00FF6C48">
        <w:t xml:space="preserve"> blackboard. </w:t>
      </w:r>
    </w:p>
    <w:p w14:paraId="4FC97217" w14:textId="77777777" w:rsidR="0011145C" w:rsidRDefault="0011145C" w:rsidP="0011145C">
      <w:pPr>
        <w:pStyle w:val="Testo2"/>
      </w:pPr>
      <w:r w:rsidRPr="00F846CF">
        <w:t>Il corso s</w:t>
      </w:r>
      <w:r>
        <w:t>arà integrato da</w:t>
      </w:r>
      <w:r w:rsidRPr="00F846CF">
        <w:t xml:space="preserve"> seminari</w:t>
      </w:r>
      <w:r>
        <w:t xml:space="preserve"> la cui articolazione verrà comunicata a lezione. </w:t>
      </w:r>
    </w:p>
    <w:p w14:paraId="7E2AA94E" w14:textId="77777777" w:rsidR="0011145C" w:rsidRDefault="0011145C" w:rsidP="0011145C">
      <w:pPr>
        <w:spacing w:before="240" w:after="120" w:line="220" w:lineRule="exact"/>
        <w:rPr>
          <w:b/>
          <w:i/>
          <w:sz w:val="18"/>
        </w:rPr>
      </w:pPr>
      <w:r>
        <w:rPr>
          <w:b/>
          <w:i/>
          <w:sz w:val="18"/>
        </w:rPr>
        <w:t>METODO E CRITERI DI VALUTAZIONE</w:t>
      </w:r>
    </w:p>
    <w:p w14:paraId="45AE0414" w14:textId="77777777" w:rsidR="0011145C" w:rsidRDefault="0011145C" w:rsidP="0011145C">
      <w:pPr>
        <w:pStyle w:val="Testo2"/>
        <w:tabs>
          <w:tab w:val="clear" w:pos="284"/>
        </w:tabs>
        <w:ind w:firstLine="0"/>
      </w:pPr>
      <w:r>
        <w:t>La preparazione dello studente verrà valutata al termine del corso attraverso un esame orale che verterà sugli argomenti indicati nel programma. La valutazione sarà graduata sulla scala dei trentesimi, con l’eventuale attribuzione della distinzione della “lode”, in ragione dei contenuti delle risposte del candidato nonché della sua capacità critico-argomentativa e della precisione terminologica.</w:t>
      </w:r>
    </w:p>
    <w:p w14:paraId="3FDF5F16" w14:textId="77777777" w:rsidR="0011145C" w:rsidRDefault="0011145C" w:rsidP="0011145C">
      <w:pPr>
        <w:pStyle w:val="Testo2"/>
      </w:pPr>
      <w:r>
        <w:t>La comprensione del quadro complessivo delle questioni affrontate nel corso e dei relativi nessi logico-tematici, unitamente alla completa padronanza del metodo e del lessico filosofico-giuridici nonché alla capacità di rielaborare in termini critici i temi affrontati, consentirà allo studente di approdare a valutazioni di livello eccellente.</w:t>
      </w:r>
    </w:p>
    <w:p w14:paraId="774FB770" w14:textId="77777777" w:rsidR="0011145C" w:rsidRDefault="0011145C" w:rsidP="0011145C">
      <w:pPr>
        <w:pStyle w:val="Testo2"/>
      </w:pPr>
      <w:r>
        <w:t>La conoscenza senza lacune dei punti strutturali del corso, sorretta da un approccio metodologico e da una capacità logico-argomentativa e linguistica apprezzabili sebbene incompleti e parzialmente imprecisi, esiterà in una valutazione di livello discreto.</w:t>
      </w:r>
    </w:p>
    <w:p w14:paraId="483D4BD5" w14:textId="77777777" w:rsidR="0011145C" w:rsidRDefault="0011145C" w:rsidP="0011145C">
      <w:pPr>
        <w:pStyle w:val="Testo2"/>
      </w:pPr>
      <w:r>
        <w:t xml:space="preserve">L’apprendimento da parte dello studente degli elementi minimali e irriunciabili del corso, ancorché in presenza di lacune relative a parti delimitate del </w:t>
      </w:r>
      <w:r w:rsidRPr="00333E97">
        <w:t>programma e</w:t>
      </w:r>
      <w:r>
        <w:t xml:space="preserve"> sul piano della capacità critica e linguistico-argomentativa</w:t>
      </w:r>
      <w:r w:rsidRPr="00333E97">
        <w:t xml:space="preserve">, </w:t>
      </w:r>
      <w:r>
        <w:t>verrà valutato a livello sufficiente.</w:t>
      </w:r>
    </w:p>
    <w:p w14:paraId="729305DD" w14:textId="77777777" w:rsidR="0011145C" w:rsidRPr="001C0F8B" w:rsidRDefault="0011145C" w:rsidP="0011145C">
      <w:pPr>
        <w:pStyle w:val="Testo2"/>
      </w:pPr>
      <w:r>
        <w:t>Ove lo studente mostri una preparazione fortemente deficitaria, con riguardo ai contenuti fondamentali del corso e alle relative questioni critico-metodologiche nonché sul piano dell’utilizzo del linguaggio filosofico-giuridico, la valutazione risulterà insufficiente.</w:t>
      </w:r>
    </w:p>
    <w:p w14:paraId="0D54E72D" w14:textId="77777777" w:rsidR="0011145C" w:rsidRDefault="0011145C" w:rsidP="0011145C">
      <w:pPr>
        <w:spacing w:before="240" w:after="120"/>
        <w:rPr>
          <w:b/>
          <w:i/>
          <w:sz w:val="18"/>
        </w:rPr>
      </w:pPr>
      <w:r>
        <w:rPr>
          <w:b/>
          <w:i/>
          <w:sz w:val="18"/>
        </w:rPr>
        <w:t>AVVERTENZE E PREREQUISITI</w:t>
      </w:r>
    </w:p>
    <w:p w14:paraId="0D354E71" w14:textId="77777777" w:rsidR="0011145C" w:rsidRDefault="0011145C" w:rsidP="0011145C">
      <w:pPr>
        <w:pStyle w:val="Testo2"/>
      </w:pPr>
      <w:r>
        <w:t>L</w:t>
      </w:r>
      <w:r w:rsidRPr="00A95D24">
        <w:t>’insegnamento</w:t>
      </w:r>
      <w:r>
        <w:t xml:space="preserve"> ha carattere introduttivo e non necessita</w:t>
      </w:r>
      <w:r w:rsidRPr="00A95D24">
        <w:t xml:space="preserve"> di prerequ</w:t>
      </w:r>
      <w:r>
        <w:t xml:space="preserve">isiti specifici. Tuttavia si </w:t>
      </w:r>
      <w:r w:rsidRPr="00A95D24">
        <w:t xml:space="preserve">consiglia </w:t>
      </w:r>
      <w:r>
        <w:t>di acquisire una conoscenza minimale su base manualistica</w:t>
      </w:r>
      <w:r w:rsidRPr="00A95D24">
        <w:t xml:space="preserve"> dei principali orientamenti filosofici.</w:t>
      </w:r>
    </w:p>
    <w:p w14:paraId="510EF527" w14:textId="77777777" w:rsidR="0011145C" w:rsidRPr="002B7B39" w:rsidRDefault="0011145C" w:rsidP="0011145C">
      <w:pPr>
        <w:pStyle w:val="Testo2"/>
        <w:spacing w:before="120"/>
        <w:rPr>
          <w:i/>
        </w:rPr>
      </w:pPr>
      <w:r w:rsidRPr="00F846CF">
        <w:rPr>
          <w:i/>
        </w:rPr>
        <w:t xml:space="preserve">Orario e luogo di ricevimento </w:t>
      </w:r>
    </w:p>
    <w:p w14:paraId="45DFCA89" w14:textId="77777777" w:rsidR="0011145C" w:rsidRDefault="0011145C" w:rsidP="0011145C">
      <w:pPr>
        <w:pStyle w:val="Testo2"/>
      </w:pPr>
      <w:r w:rsidRPr="00F846CF">
        <w:t>I</w:t>
      </w:r>
      <w:r>
        <w:t>l docente comunicherà a lezione orario,</w:t>
      </w:r>
      <w:r w:rsidRPr="00F846CF">
        <w:t xml:space="preserve"> luog</w:t>
      </w:r>
      <w:r>
        <w:t>o e modalità di ricevimento: tali indicazioni verranno pubblicate anche sulla pagina personale e sulla piattaforma blackboard.</w:t>
      </w:r>
    </w:p>
    <w:sectPr w:rsidR="0011145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835C" w14:textId="77777777" w:rsidR="001A193E" w:rsidRDefault="001A193E" w:rsidP="00CB635F">
      <w:pPr>
        <w:spacing w:line="240" w:lineRule="auto"/>
      </w:pPr>
      <w:r>
        <w:separator/>
      </w:r>
    </w:p>
  </w:endnote>
  <w:endnote w:type="continuationSeparator" w:id="0">
    <w:p w14:paraId="1BD9441D" w14:textId="77777777" w:rsidR="001A193E" w:rsidRDefault="001A193E" w:rsidP="00CB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B03C" w14:textId="77777777" w:rsidR="001A193E" w:rsidRDefault="001A193E" w:rsidP="00CB635F">
      <w:pPr>
        <w:spacing w:line="240" w:lineRule="auto"/>
      </w:pPr>
      <w:r>
        <w:separator/>
      </w:r>
    </w:p>
  </w:footnote>
  <w:footnote w:type="continuationSeparator" w:id="0">
    <w:p w14:paraId="26FDF361" w14:textId="77777777" w:rsidR="001A193E" w:rsidRDefault="001A193E" w:rsidP="00CB635F">
      <w:pPr>
        <w:spacing w:line="240" w:lineRule="auto"/>
      </w:pPr>
      <w:r>
        <w:continuationSeparator/>
      </w:r>
    </w:p>
  </w:footnote>
  <w:footnote w:id="1">
    <w:p w14:paraId="115F9D32" w14:textId="55009DE3" w:rsidR="008517DE" w:rsidRDefault="008517D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31D9"/>
    <w:multiLevelType w:val="hybridMultilevel"/>
    <w:tmpl w:val="8606357C"/>
    <w:lvl w:ilvl="0" w:tplc="A3CE998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6E84345"/>
    <w:multiLevelType w:val="hybridMultilevel"/>
    <w:tmpl w:val="BC8CE2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4668427">
    <w:abstractNumId w:val="0"/>
  </w:num>
  <w:num w:numId="2" w16cid:durableId="928655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DE"/>
    <w:rsid w:val="0002152A"/>
    <w:rsid w:val="00035535"/>
    <w:rsid w:val="00074690"/>
    <w:rsid w:val="00090223"/>
    <w:rsid w:val="00092879"/>
    <w:rsid w:val="000B3C07"/>
    <w:rsid w:val="000D79E0"/>
    <w:rsid w:val="000F7169"/>
    <w:rsid w:val="0011145C"/>
    <w:rsid w:val="0012431A"/>
    <w:rsid w:val="00132131"/>
    <w:rsid w:val="00135647"/>
    <w:rsid w:val="00151BBA"/>
    <w:rsid w:val="00187B99"/>
    <w:rsid w:val="001A193E"/>
    <w:rsid w:val="001B12C8"/>
    <w:rsid w:val="001B4E9D"/>
    <w:rsid w:val="001C0F8B"/>
    <w:rsid w:val="001F03C7"/>
    <w:rsid w:val="002014DD"/>
    <w:rsid w:val="00213DC8"/>
    <w:rsid w:val="002157EF"/>
    <w:rsid w:val="002809BF"/>
    <w:rsid w:val="0029756D"/>
    <w:rsid w:val="002B5F23"/>
    <w:rsid w:val="002B6FB4"/>
    <w:rsid w:val="002B7B39"/>
    <w:rsid w:val="002D2E74"/>
    <w:rsid w:val="002D557C"/>
    <w:rsid w:val="002D5E17"/>
    <w:rsid w:val="002D7D52"/>
    <w:rsid w:val="002F4756"/>
    <w:rsid w:val="00333E97"/>
    <w:rsid w:val="00336348"/>
    <w:rsid w:val="00342615"/>
    <w:rsid w:val="00355402"/>
    <w:rsid w:val="00414CE7"/>
    <w:rsid w:val="004366C1"/>
    <w:rsid w:val="00460646"/>
    <w:rsid w:val="004649F8"/>
    <w:rsid w:val="00484BCE"/>
    <w:rsid w:val="004A6AE0"/>
    <w:rsid w:val="004D1217"/>
    <w:rsid w:val="004D6008"/>
    <w:rsid w:val="005019F9"/>
    <w:rsid w:val="0053557D"/>
    <w:rsid w:val="00545C7C"/>
    <w:rsid w:val="005638BB"/>
    <w:rsid w:val="005B33B7"/>
    <w:rsid w:val="005C71C9"/>
    <w:rsid w:val="005F2711"/>
    <w:rsid w:val="00640794"/>
    <w:rsid w:val="006647DB"/>
    <w:rsid w:val="006A6FA8"/>
    <w:rsid w:val="006B041E"/>
    <w:rsid w:val="006D1F61"/>
    <w:rsid w:val="006D6CEA"/>
    <w:rsid w:val="006E3C30"/>
    <w:rsid w:val="006F1772"/>
    <w:rsid w:val="006F69DF"/>
    <w:rsid w:val="00755CBE"/>
    <w:rsid w:val="00756A78"/>
    <w:rsid w:val="00785FDF"/>
    <w:rsid w:val="007A7462"/>
    <w:rsid w:val="007C2DAC"/>
    <w:rsid w:val="008024D9"/>
    <w:rsid w:val="008038D0"/>
    <w:rsid w:val="008229D0"/>
    <w:rsid w:val="00824487"/>
    <w:rsid w:val="008342DD"/>
    <w:rsid w:val="008517DE"/>
    <w:rsid w:val="008942E7"/>
    <w:rsid w:val="008A1204"/>
    <w:rsid w:val="008B6C6B"/>
    <w:rsid w:val="008C0BBD"/>
    <w:rsid w:val="008D0D9C"/>
    <w:rsid w:val="00900CCA"/>
    <w:rsid w:val="00924B77"/>
    <w:rsid w:val="009408C5"/>
    <w:rsid w:val="00940DA2"/>
    <w:rsid w:val="009410CB"/>
    <w:rsid w:val="00951C13"/>
    <w:rsid w:val="0097019D"/>
    <w:rsid w:val="009716B6"/>
    <w:rsid w:val="00976A94"/>
    <w:rsid w:val="009903D4"/>
    <w:rsid w:val="009A1F74"/>
    <w:rsid w:val="009E055C"/>
    <w:rsid w:val="00A06AAB"/>
    <w:rsid w:val="00A74F6F"/>
    <w:rsid w:val="00A754F7"/>
    <w:rsid w:val="00A76B7C"/>
    <w:rsid w:val="00AA7742"/>
    <w:rsid w:val="00AA7873"/>
    <w:rsid w:val="00AC0187"/>
    <w:rsid w:val="00AD7557"/>
    <w:rsid w:val="00B217E2"/>
    <w:rsid w:val="00B42901"/>
    <w:rsid w:val="00B50C5D"/>
    <w:rsid w:val="00B51253"/>
    <w:rsid w:val="00B525CC"/>
    <w:rsid w:val="00B60599"/>
    <w:rsid w:val="00B92E09"/>
    <w:rsid w:val="00BA2389"/>
    <w:rsid w:val="00BA330C"/>
    <w:rsid w:val="00BC09DD"/>
    <w:rsid w:val="00BD36E4"/>
    <w:rsid w:val="00C30B7B"/>
    <w:rsid w:val="00C32EFF"/>
    <w:rsid w:val="00C336FB"/>
    <w:rsid w:val="00C45512"/>
    <w:rsid w:val="00C63D19"/>
    <w:rsid w:val="00C66EAE"/>
    <w:rsid w:val="00C8279A"/>
    <w:rsid w:val="00C837CA"/>
    <w:rsid w:val="00C9530B"/>
    <w:rsid w:val="00CB635F"/>
    <w:rsid w:val="00CF0429"/>
    <w:rsid w:val="00D2086A"/>
    <w:rsid w:val="00D318CD"/>
    <w:rsid w:val="00D404F2"/>
    <w:rsid w:val="00D64AA4"/>
    <w:rsid w:val="00D66CFA"/>
    <w:rsid w:val="00D96F2B"/>
    <w:rsid w:val="00E11B8D"/>
    <w:rsid w:val="00E22B45"/>
    <w:rsid w:val="00E37638"/>
    <w:rsid w:val="00E517B4"/>
    <w:rsid w:val="00E607E6"/>
    <w:rsid w:val="00E95741"/>
    <w:rsid w:val="00EC0896"/>
    <w:rsid w:val="00ED015C"/>
    <w:rsid w:val="00EE0EC1"/>
    <w:rsid w:val="00F21669"/>
    <w:rsid w:val="00F264DE"/>
    <w:rsid w:val="00F26FA7"/>
    <w:rsid w:val="00F73985"/>
    <w:rsid w:val="00FE2223"/>
    <w:rsid w:val="00FF6C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FC6CC"/>
  <w15:docId w15:val="{F28159DF-97D4-47D0-8558-24B62DB5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6C4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qFormat/>
    <w:rsid w:val="00FF6C48"/>
    <w:rPr>
      <w:i/>
      <w:iCs/>
    </w:rPr>
  </w:style>
  <w:style w:type="paragraph" w:styleId="Paragrafoelenco">
    <w:name w:val="List Paragraph"/>
    <w:basedOn w:val="Normale"/>
    <w:uiPriority w:val="34"/>
    <w:qFormat/>
    <w:rsid w:val="00BD36E4"/>
    <w:pPr>
      <w:ind w:left="720"/>
      <w:contextualSpacing/>
    </w:pPr>
  </w:style>
  <w:style w:type="paragraph" w:styleId="Testonotaapidipagina">
    <w:name w:val="footnote text"/>
    <w:basedOn w:val="Normale"/>
    <w:link w:val="TestonotaapidipaginaCarattere"/>
    <w:rsid w:val="00CB635F"/>
    <w:pPr>
      <w:spacing w:line="240" w:lineRule="auto"/>
    </w:pPr>
    <w:rPr>
      <w:szCs w:val="20"/>
    </w:rPr>
  </w:style>
  <w:style w:type="character" w:customStyle="1" w:styleId="TestonotaapidipaginaCarattere">
    <w:name w:val="Testo nota a piè di pagina Carattere"/>
    <w:basedOn w:val="Carpredefinitoparagrafo"/>
    <w:link w:val="Testonotaapidipagina"/>
    <w:rsid w:val="00CB635F"/>
  </w:style>
  <w:style w:type="character" w:styleId="Rimandonotaapidipagina">
    <w:name w:val="footnote reference"/>
    <w:basedOn w:val="Carpredefinitoparagrafo"/>
    <w:rsid w:val="00CB635F"/>
    <w:rPr>
      <w:vertAlign w:val="superscript"/>
    </w:rPr>
  </w:style>
  <w:style w:type="character" w:styleId="Collegamentoipertestuale">
    <w:name w:val="Hyperlink"/>
    <w:basedOn w:val="Carpredefinitoparagrafo"/>
    <w:rsid w:val="00CB635F"/>
    <w:rPr>
      <w:color w:val="0563C1" w:themeColor="hyperlink"/>
      <w:u w:val="single"/>
    </w:rPr>
  </w:style>
  <w:style w:type="character" w:styleId="Collegamentovisitato">
    <w:name w:val="FollowedHyperlink"/>
    <w:basedOn w:val="Carpredefinitoparagrafo"/>
    <w:semiHidden/>
    <w:unhideWhenUsed/>
    <w:rsid w:val="00824487"/>
    <w:rPr>
      <w:color w:val="954F72" w:themeColor="followedHyperlink"/>
      <w:u w:val="single"/>
    </w:rPr>
  </w:style>
  <w:style w:type="character" w:styleId="Menzionenonrisolta">
    <w:name w:val="Unresolved Mention"/>
    <w:basedOn w:val="Carpredefinitoparagrafo"/>
    <w:uiPriority w:val="99"/>
    <w:semiHidden/>
    <w:unhideWhenUsed/>
    <w:rsid w:val="00851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dimensioni-del-diritto-9788892130494-67811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utori-vari/i-volti-molteplici-della-consuetudine-9791222300290-720179.html" TargetMode="External"/><Relationship Id="rId4" Type="http://schemas.openxmlformats.org/officeDocument/2006/relationships/settings" Target="settings.xml"/><Relationship Id="rId9" Type="http://schemas.openxmlformats.org/officeDocument/2006/relationships/hyperlink" Target="https://librerie.unicatt.it/scheda-libro/autori-vari/dimensioni-del-diritto-9788892130494-6781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E167-0490-4656-95BF-DB74D810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911</Words>
  <Characters>6396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7</cp:revision>
  <cp:lastPrinted>2003-03-27T10:42:00Z</cp:lastPrinted>
  <dcterms:created xsi:type="dcterms:W3CDTF">2022-07-08T08:35:00Z</dcterms:created>
  <dcterms:modified xsi:type="dcterms:W3CDTF">2023-06-23T07:56:00Z</dcterms:modified>
</cp:coreProperties>
</file>