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1B88" w14:textId="6A3198E1" w:rsidR="00B07318" w:rsidRPr="00B07318" w:rsidRDefault="00B07318" w:rsidP="00B073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b/>
          <w:bCs/>
          <w:sz w:val="20"/>
          <w:szCs w:val="20"/>
        </w:rPr>
        <w:t>Seminario: Enti religiosi e terzo settore</w:t>
      </w:r>
    </w:p>
    <w:p w14:paraId="2AB2E51A" w14:textId="57A25DB4" w:rsidR="00735077" w:rsidRPr="00B07318" w:rsidRDefault="00B07318" w:rsidP="009C281E">
      <w:pPr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Prof. Alessandro Perego </w:t>
      </w:r>
    </w:p>
    <w:p w14:paraId="2C0BD5B0" w14:textId="4279D9B9" w:rsidR="009C281E" w:rsidRPr="00B07318" w:rsidRDefault="00B07318" w:rsidP="00B07318">
      <w:pPr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OBIETTIVI DEL CORSO E RISULTATI DI APPRENDIMENTO ATTESI </w:t>
      </w:r>
    </w:p>
    <w:p w14:paraId="5D11801A" w14:textId="77777777" w:rsidR="00735077" w:rsidRPr="00B07318" w:rsidRDefault="00C70A48" w:rsidP="009C281E">
      <w:pPr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Il Seminario si propone di fornire agli studenti le nozioni e far acquisire loro le competenze necessarie ad inquadrare, </w:t>
      </w:r>
      <w:r w:rsidR="00131670" w:rsidRPr="00B07318">
        <w:rPr>
          <w:rFonts w:ascii="Times New Roman" w:eastAsia="Times New Roman" w:hAnsi="Times New Roman" w:cs="Times New Roman"/>
          <w:sz w:val="20"/>
          <w:szCs w:val="20"/>
        </w:rPr>
        <w:t>trattare</w:t>
      </w: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 e risolvere</w:t>
      </w:r>
      <w:r w:rsidR="00131670" w:rsidRPr="00B07318">
        <w:rPr>
          <w:rFonts w:ascii="Times New Roman" w:eastAsia="Times New Roman" w:hAnsi="Times New Roman" w:cs="Times New Roman"/>
          <w:sz w:val="20"/>
          <w:szCs w:val="20"/>
        </w:rPr>
        <w:t xml:space="preserve"> problematiche giuridiche che riguardano gli enti religiosi e lo svolgimento da parte dei medesimi di attività d’interesse generale, come l’istruzione paritaria, l’erogazione di prestazioni socio-sanitarie, e la tutela e valorizzazione del patrimonio culturale.</w:t>
      </w:r>
    </w:p>
    <w:p w14:paraId="6B79BD0B" w14:textId="23D48F23" w:rsidR="009C281E" w:rsidRPr="00B07318" w:rsidRDefault="00B07318" w:rsidP="00B07318">
      <w:pPr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PROGRAMMA DEL CORSO </w:t>
      </w:r>
    </w:p>
    <w:p w14:paraId="3856314E" w14:textId="77777777" w:rsidR="003C0C55" w:rsidRPr="00B07318" w:rsidRDefault="003C0C55" w:rsidP="00BF31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Nella prima parte del Seminario </w:t>
      </w:r>
      <w:r w:rsidR="00535A30" w:rsidRPr="00B07318">
        <w:rPr>
          <w:rFonts w:ascii="Times New Roman" w:eastAsia="Times New Roman" w:hAnsi="Times New Roman" w:cs="Times New Roman"/>
          <w:sz w:val="20"/>
          <w:szCs w:val="20"/>
        </w:rPr>
        <w:t>vengono</w:t>
      </w: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 affrontati i seguenti temi: </w:t>
      </w:r>
    </w:p>
    <w:p w14:paraId="5DAE3CCC" w14:textId="77777777" w:rsidR="003C0C55" w:rsidRPr="00B07318" w:rsidRDefault="003C0C55" w:rsidP="00B0731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soggettività e personalità giuridica degli enti religiosi nell’ordinamento italiano;</w:t>
      </w:r>
    </w:p>
    <w:p w14:paraId="005F588C" w14:textId="77777777" w:rsidR="003C0C55" w:rsidRPr="00B07318" w:rsidRDefault="003C0C55" w:rsidP="00B0731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regime giuridico delle attività degli enti religiosi, tra diritto comune e norme speciali: attività di religione o di culto; attività diverse; attività d’impresa; attività del Terzo settore;</w:t>
      </w:r>
    </w:p>
    <w:p w14:paraId="64D49EB1" w14:textId="77777777" w:rsidR="00C70A48" w:rsidRPr="00B07318" w:rsidRDefault="00C70A48" w:rsidP="00B0731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enti del Terzo settore: qualifica e regime giuridico.</w:t>
      </w:r>
    </w:p>
    <w:p w14:paraId="4BD8D01B" w14:textId="77777777" w:rsidR="003C0C55" w:rsidRPr="00B07318" w:rsidRDefault="003C0C55" w:rsidP="00B0731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requisiti e condizioni per la costituzione di rami del Terzo settore e di impresa sociale da parte degli enti religiosi;</w:t>
      </w:r>
    </w:p>
    <w:p w14:paraId="57B481EF" w14:textId="77777777" w:rsidR="003C0C55" w:rsidRPr="00B07318" w:rsidRDefault="003C0C55" w:rsidP="00B0731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regime tributario degli enti religiosi: soggettività tributaria e norme speciali con riferimento ai singoli tributi.</w:t>
      </w:r>
    </w:p>
    <w:p w14:paraId="42E99DC4" w14:textId="77777777" w:rsidR="00535A30" w:rsidRPr="00B07318" w:rsidRDefault="00535A30" w:rsidP="00BF31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L</w:t>
      </w:r>
      <w:r w:rsidR="003C0C55" w:rsidRPr="00B07318">
        <w:rPr>
          <w:rFonts w:ascii="Times New Roman" w:eastAsia="Times New Roman" w:hAnsi="Times New Roman" w:cs="Times New Roman"/>
          <w:sz w:val="20"/>
          <w:szCs w:val="20"/>
        </w:rPr>
        <w:t xml:space="preserve">a seconda parte del Seminario </w:t>
      </w:r>
      <w:r w:rsidRPr="00B07318">
        <w:rPr>
          <w:rFonts w:ascii="Times New Roman" w:eastAsia="Times New Roman" w:hAnsi="Times New Roman" w:cs="Times New Roman"/>
          <w:sz w:val="20"/>
          <w:szCs w:val="20"/>
        </w:rPr>
        <w:t>è</w:t>
      </w:r>
      <w:r w:rsidR="003C0C55" w:rsidRPr="00B073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318">
        <w:rPr>
          <w:rFonts w:ascii="Times New Roman" w:eastAsia="Times New Roman" w:hAnsi="Times New Roman" w:cs="Times New Roman"/>
          <w:sz w:val="20"/>
          <w:szCs w:val="20"/>
        </w:rPr>
        <w:t>invece dedicata ad illustrare ed anal</w:t>
      </w:r>
      <w:r w:rsidR="00BF3190" w:rsidRPr="00B07318">
        <w:rPr>
          <w:rFonts w:ascii="Times New Roman" w:eastAsia="Times New Roman" w:hAnsi="Times New Roman" w:cs="Times New Roman"/>
          <w:sz w:val="20"/>
          <w:szCs w:val="20"/>
        </w:rPr>
        <w:t>izzare, nei suoi tratti comuni come in quelli</w:t>
      </w: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 peculiari, il regime giuridico di tre</w:t>
      </w:r>
      <w:r w:rsidR="003C0C55" w:rsidRPr="00B07318">
        <w:rPr>
          <w:rFonts w:ascii="Times New Roman" w:eastAsia="Times New Roman" w:hAnsi="Times New Roman" w:cs="Times New Roman"/>
          <w:sz w:val="20"/>
          <w:szCs w:val="20"/>
        </w:rPr>
        <w:t xml:space="preserve"> «attività d’interesse generale» che tradizionalmente vedono una presenza assai significativa di enti religiosi:</w:t>
      </w:r>
    </w:p>
    <w:p w14:paraId="17565048" w14:textId="77777777" w:rsidR="00535A30" w:rsidRPr="00B07318" w:rsidRDefault="00535A30" w:rsidP="00B07318">
      <w:pPr>
        <w:pStyle w:val="Paragrafoelenco"/>
        <w:numPr>
          <w:ilvl w:val="0"/>
          <w:numId w:val="2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istruzione paritaria (scuole paritarie); </w:t>
      </w:r>
    </w:p>
    <w:p w14:paraId="65529918" w14:textId="77777777" w:rsidR="00535A30" w:rsidRPr="00B07318" w:rsidRDefault="00535A30" w:rsidP="00B07318">
      <w:pPr>
        <w:pStyle w:val="Paragrafoelenco"/>
        <w:numPr>
          <w:ilvl w:val="0"/>
          <w:numId w:val="2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 xml:space="preserve">prestazioni socio-sanitarie (residenze e strutture per anziani, diversamente abili, etc.); </w:t>
      </w:r>
    </w:p>
    <w:p w14:paraId="2CC81DBD" w14:textId="77777777" w:rsidR="003C0C55" w:rsidRPr="00B07318" w:rsidRDefault="00535A30" w:rsidP="00B07318">
      <w:pPr>
        <w:pStyle w:val="Paragrafoelenco"/>
        <w:numPr>
          <w:ilvl w:val="0"/>
          <w:numId w:val="2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318">
        <w:rPr>
          <w:rFonts w:ascii="Times New Roman" w:eastAsia="Times New Roman" w:hAnsi="Times New Roman" w:cs="Times New Roman"/>
          <w:sz w:val="20"/>
          <w:szCs w:val="20"/>
        </w:rPr>
        <w:t>tutela e valorizzazione del patrimonio culturale (edifici di culto e altri beni culturali d’interesse religioso).</w:t>
      </w:r>
    </w:p>
    <w:p w14:paraId="1C927ECA" w14:textId="6774BC58" w:rsidR="009C281E" w:rsidRPr="00B07318" w:rsidRDefault="00B07318" w:rsidP="00B07318">
      <w:pPr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BIBLIOGRAFIA </w:t>
      </w:r>
      <w:r w:rsidR="00352860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footnoteReference w:id="1"/>
      </w:r>
    </w:p>
    <w:p w14:paraId="760608AA" w14:textId="77777777" w:rsidR="00F42CBD" w:rsidRPr="00B07318" w:rsidRDefault="00F42CBD" w:rsidP="009C281E">
      <w:pPr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>Per gli studenti f</w:t>
      </w:r>
      <w:r w:rsidR="00131670" w:rsidRPr="00B07318">
        <w:rPr>
          <w:rFonts w:ascii="Times New Roman" w:eastAsia="Times New Roman" w:hAnsi="Times New Roman" w:cs="Times New Roman"/>
          <w:sz w:val="18"/>
          <w:szCs w:val="18"/>
        </w:rPr>
        <w:t>requentanti:</w:t>
      </w:r>
      <w:r w:rsidR="00735077" w:rsidRPr="00B073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dispense e materiali forniti dal Docente durante le lezioni </w:t>
      </w:r>
    </w:p>
    <w:p w14:paraId="608754B2" w14:textId="77777777" w:rsidR="00F42CBD" w:rsidRPr="00B07318" w:rsidRDefault="00F42CBD" w:rsidP="009C281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2C92314" w14:textId="77777777" w:rsidR="00F42CBD" w:rsidRPr="00B07318" w:rsidRDefault="00F42CBD" w:rsidP="009C281E">
      <w:pPr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Per gli studenti non frequentanti: </w:t>
      </w:r>
    </w:p>
    <w:p w14:paraId="39539E1E" w14:textId="73392817" w:rsidR="00F42CBD" w:rsidRPr="00B07318" w:rsidRDefault="00F42CBD" w:rsidP="009C281E">
      <w:pPr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A. Bettetini – A. Perego, </w:t>
      </w:r>
      <w:r w:rsidRPr="00B07318">
        <w:rPr>
          <w:rFonts w:ascii="Times New Roman" w:eastAsia="Times New Roman" w:hAnsi="Times New Roman" w:cs="Times New Roman"/>
          <w:i/>
          <w:sz w:val="18"/>
          <w:szCs w:val="18"/>
        </w:rPr>
        <w:t>Diritto ecclesiastico</w:t>
      </w:r>
      <w:r w:rsidR="00735077" w:rsidRPr="00B07318">
        <w:rPr>
          <w:rFonts w:ascii="Times New Roman" w:eastAsia="Times New Roman" w:hAnsi="Times New Roman" w:cs="Times New Roman"/>
          <w:sz w:val="18"/>
          <w:szCs w:val="18"/>
        </w:rPr>
        <w:t xml:space="preserve">, Padova, 2023, limitatamente al capitolo V: </w:t>
      </w:r>
      <w:r w:rsidR="00735077" w:rsidRPr="00B07318">
        <w:rPr>
          <w:rFonts w:ascii="Times New Roman" w:eastAsia="Times New Roman" w:hAnsi="Times New Roman" w:cs="Times New Roman"/>
          <w:i/>
          <w:sz w:val="18"/>
          <w:szCs w:val="18"/>
        </w:rPr>
        <w:t>Enti ecclesiastici ed enti religiosi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="003528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7" w:history="1">
        <w:r w:rsidR="00352860" w:rsidRPr="00352860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57E5B54C" w14:textId="77777777" w:rsidR="00F42CBD" w:rsidRPr="00B07318" w:rsidRDefault="00F42CBD" w:rsidP="009C281E">
      <w:pPr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A. Perego, </w:t>
      </w:r>
      <w:r w:rsidRPr="00B07318">
        <w:rPr>
          <w:rFonts w:ascii="Times New Roman" w:eastAsia="Times New Roman" w:hAnsi="Times New Roman" w:cs="Times New Roman"/>
          <w:i/>
          <w:sz w:val="18"/>
          <w:szCs w:val="18"/>
        </w:rPr>
        <w:t>Il "ramo" degli enti religiosi civilmente riconosciuti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, in </w:t>
      </w:r>
      <w:r w:rsidRPr="00B07318">
        <w:rPr>
          <w:rFonts w:ascii="Times New Roman" w:eastAsia="Times New Roman" w:hAnsi="Times New Roman" w:cs="Times New Roman"/>
          <w:i/>
          <w:sz w:val="18"/>
          <w:szCs w:val="18"/>
        </w:rPr>
        <w:t>Dal non profit al terzo settore. Una riforma in cammino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B07318">
        <w:rPr>
          <w:rFonts w:ascii="Times New Roman" w:eastAsia="Times New Roman" w:hAnsi="Times New Roman" w:cs="Times New Roman"/>
          <w:sz w:val="18"/>
          <w:szCs w:val="18"/>
        </w:rPr>
        <w:t>Terzjus</w:t>
      </w:r>
      <w:proofErr w:type="spellEnd"/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 Report 2022, Napoli, 2022, pp.  253-270 (il volume può essere scaricato gratuitamente al seguente indirizzo: </w:t>
      </w:r>
      <w:hyperlink r:id="rId8" w:history="1">
        <w:r w:rsidRPr="00B07318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https://terzjus.it/rapporto/</w:t>
        </w:r>
      </w:hyperlink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r w:rsidR="00535A30" w:rsidRPr="00B07318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268FAA1" w14:textId="77777777" w:rsidR="00F42CBD" w:rsidRPr="00B07318" w:rsidRDefault="00F42CBD" w:rsidP="009C281E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3063BA0C" w14:textId="6F7745CD" w:rsidR="009C281E" w:rsidRPr="00B07318" w:rsidRDefault="00B07318" w:rsidP="00B07318">
      <w:pPr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DIDATTICA DEL CORSO METODO E CRITERI DI VALUTAZIONE </w:t>
      </w:r>
    </w:p>
    <w:p w14:paraId="7CE523BD" w14:textId="77777777" w:rsidR="00BF3190" w:rsidRPr="00B07318" w:rsidRDefault="00BF3190" w:rsidP="00B07318">
      <w:pPr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>Le tradizionali lezioni frontali, necessarie per far acquisire agli studenti le nozioni fondamentali del programma, si accompagnano ad un approccio di tipo laboratoriale (redazione di atti, lettura di documenti, etc.) e ad una metodologia d’insegnamento basata sul confronto diretto con amministratori, consulenti ed esperti legali che operano con enti religiosi.</w:t>
      </w:r>
    </w:p>
    <w:p w14:paraId="7D991180" w14:textId="77777777" w:rsidR="00BF3190" w:rsidRPr="00B07318" w:rsidRDefault="00BF3190" w:rsidP="00B07318">
      <w:pPr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>La valutazione degli studenti frequentanti viene effettuata nel corso delle lezion</w:t>
      </w:r>
      <w:r w:rsidR="00131670" w:rsidRPr="00B07318">
        <w:rPr>
          <w:rFonts w:ascii="Times New Roman" w:eastAsia="Times New Roman" w:hAnsi="Times New Roman" w:cs="Times New Roman"/>
          <w:sz w:val="18"/>
          <w:szCs w:val="18"/>
        </w:rPr>
        <w:t xml:space="preserve">i, tenendo in considerazione la 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>modalità di</w:t>
      </w:r>
      <w:r w:rsidR="00C9639A" w:rsidRPr="00B07318">
        <w:rPr>
          <w:rFonts w:ascii="Times New Roman" w:eastAsia="Times New Roman" w:hAnsi="Times New Roman" w:cs="Times New Roman"/>
          <w:sz w:val="18"/>
          <w:szCs w:val="18"/>
        </w:rPr>
        <w:t xml:space="preserve"> partecipazione, gli eventuali interventi 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e gli esiti delle esercitazioni proposte. </w:t>
      </w:r>
    </w:p>
    <w:p w14:paraId="744167D6" w14:textId="77777777" w:rsidR="00BF3190" w:rsidRPr="00B07318" w:rsidRDefault="00BF3190" w:rsidP="00B07318">
      <w:pPr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>La valutazione degli studenti non frequentanti viene effettuata mediante colloquio orale con il Docente, avente ad oggetto la bibliografia indicata.</w:t>
      </w:r>
    </w:p>
    <w:p w14:paraId="15B75370" w14:textId="1AD1338F" w:rsidR="009C281E" w:rsidRPr="00B07318" w:rsidRDefault="00B07318" w:rsidP="00B07318">
      <w:pPr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AVVERTENZE E PREREQUISITI </w:t>
      </w:r>
    </w:p>
    <w:p w14:paraId="3508B0BA" w14:textId="77777777" w:rsidR="009C281E" w:rsidRPr="00B07318" w:rsidRDefault="00535A30" w:rsidP="00B0731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È </w:t>
      </w:r>
      <w:r w:rsidR="009C281E" w:rsidRPr="00B07318">
        <w:rPr>
          <w:rFonts w:ascii="Times New Roman" w:eastAsia="Times New Roman" w:hAnsi="Times New Roman" w:cs="Times New Roman"/>
          <w:sz w:val="18"/>
          <w:szCs w:val="18"/>
        </w:rPr>
        <w:t>opportuno frequentare il Seminario unitamente al Corso di Diritto ecclesiastico tenuto dal prof. Andrea Bettetini</w:t>
      </w:r>
      <w:r w:rsidR="00F42CBD" w:rsidRPr="00B07318">
        <w:rPr>
          <w:rFonts w:ascii="Times New Roman" w:eastAsia="Times New Roman" w:hAnsi="Times New Roman" w:cs="Times New Roman"/>
          <w:sz w:val="18"/>
          <w:szCs w:val="18"/>
        </w:rPr>
        <w:t xml:space="preserve"> oppure aver già sostenuto l’esame di Diritto ecclesiastico in precedenti anni accademici.</w:t>
      </w:r>
    </w:p>
    <w:p w14:paraId="29709C86" w14:textId="77777777" w:rsidR="009C281E" w:rsidRPr="00B07318" w:rsidRDefault="009C281E" w:rsidP="00B07318">
      <w:pPr>
        <w:ind w:firstLine="284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6031890F" w14:textId="77777777" w:rsidR="009C281E" w:rsidRPr="00B07318" w:rsidRDefault="009C281E" w:rsidP="00B07318">
      <w:pPr>
        <w:ind w:firstLine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i/>
          <w:iCs/>
          <w:sz w:val="18"/>
          <w:szCs w:val="18"/>
        </w:rPr>
        <w:t>Orario e luogo di ricevimento degli studenti</w:t>
      </w:r>
    </w:p>
    <w:p w14:paraId="6763F01E" w14:textId="77777777" w:rsidR="00735077" w:rsidRPr="00B07318" w:rsidRDefault="00735077" w:rsidP="00B0731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B07318">
        <w:rPr>
          <w:rFonts w:ascii="Times New Roman" w:eastAsia="Times New Roman" w:hAnsi="Times New Roman" w:cs="Times New Roman"/>
          <w:sz w:val="18"/>
          <w:szCs w:val="18"/>
        </w:rPr>
        <w:t>Il Docente riceve gli studenti al termine delle lezioni</w:t>
      </w:r>
      <w:r w:rsidR="00131670" w:rsidRPr="00B07318">
        <w:rPr>
          <w:rFonts w:ascii="Times New Roman" w:eastAsia="Times New Roman" w:hAnsi="Times New Roman" w:cs="Times New Roman"/>
          <w:sz w:val="18"/>
          <w:szCs w:val="18"/>
        </w:rPr>
        <w:t xml:space="preserve"> del Seminario</w:t>
      </w:r>
      <w:r w:rsidRPr="00B07318">
        <w:rPr>
          <w:rFonts w:ascii="Times New Roman" w:eastAsia="Times New Roman" w:hAnsi="Times New Roman" w:cs="Times New Roman"/>
          <w:sz w:val="18"/>
          <w:szCs w:val="18"/>
        </w:rPr>
        <w:t xml:space="preserve">, previo appuntamento via </w:t>
      </w:r>
      <w:proofErr w:type="gramStart"/>
      <w:r w:rsidRPr="00B07318">
        <w:rPr>
          <w:rFonts w:ascii="Times New Roman" w:eastAsia="Times New Roman" w:hAnsi="Times New Roman" w:cs="Times New Roman"/>
          <w:sz w:val="18"/>
          <w:szCs w:val="18"/>
        </w:rPr>
        <w:t>email</w:t>
      </w:r>
      <w:proofErr w:type="gramEnd"/>
      <w:r w:rsidRPr="00B07318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FFFAFC6" w14:textId="77777777" w:rsidR="00AF1EFD" w:rsidRPr="00B07318" w:rsidRDefault="00AF1EFD">
      <w:pPr>
        <w:rPr>
          <w:rFonts w:ascii="Times New Roman" w:hAnsi="Times New Roman" w:cs="Times New Roman"/>
          <w:sz w:val="18"/>
          <w:szCs w:val="18"/>
        </w:rPr>
      </w:pPr>
    </w:p>
    <w:sectPr w:rsidR="00AF1EFD" w:rsidRPr="00B07318" w:rsidSect="00B07318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210B" w14:textId="77777777" w:rsidR="00352860" w:rsidRDefault="00352860" w:rsidP="00352860">
      <w:r>
        <w:separator/>
      </w:r>
    </w:p>
  </w:endnote>
  <w:endnote w:type="continuationSeparator" w:id="0">
    <w:p w14:paraId="14C112DC" w14:textId="77777777" w:rsidR="00352860" w:rsidRDefault="00352860" w:rsidP="0035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A044" w14:textId="77777777" w:rsidR="00352860" w:rsidRDefault="00352860" w:rsidP="00352860">
      <w:r>
        <w:separator/>
      </w:r>
    </w:p>
  </w:footnote>
  <w:footnote w:type="continuationSeparator" w:id="0">
    <w:p w14:paraId="4D4684B4" w14:textId="77777777" w:rsidR="00352860" w:rsidRDefault="00352860" w:rsidP="00352860">
      <w:r>
        <w:continuationSeparator/>
      </w:r>
    </w:p>
  </w:footnote>
  <w:footnote w:id="1">
    <w:p w14:paraId="046A57E9" w14:textId="46A513F9" w:rsidR="00352860" w:rsidRDefault="003528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2B6"/>
    <w:multiLevelType w:val="hybridMultilevel"/>
    <w:tmpl w:val="90382528"/>
    <w:lvl w:ilvl="0" w:tplc="6CB8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48E"/>
    <w:multiLevelType w:val="hybridMultilevel"/>
    <w:tmpl w:val="BA1C75BE"/>
    <w:lvl w:ilvl="0" w:tplc="6CB8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51560">
    <w:abstractNumId w:val="1"/>
  </w:num>
  <w:num w:numId="2" w16cid:durableId="53759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1E"/>
    <w:rsid w:val="00131670"/>
    <w:rsid w:val="0027261F"/>
    <w:rsid w:val="00352860"/>
    <w:rsid w:val="003C0C55"/>
    <w:rsid w:val="00535A30"/>
    <w:rsid w:val="00735077"/>
    <w:rsid w:val="009C281E"/>
    <w:rsid w:val="00AF1EFD"/>
    <w:rsid w:val="00B07318"/>
    <w:rsid w:val="00BF3190"/>
    <w:rsid w:val="00C70A48"/>
    <w:rsid w:val="00C9639A"/>
    <w:rsid w:val="00F4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AF362"/>
  <w14:defaultImageDpi w14:val="300"/>
  <w15:docId w15:val="{741AB1F8-5CC1-48CF-B37E-E844838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2C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0C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6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zjus.it/rappor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ssandro-perego-andrea-bettetini/diritto-ecclesiastico-9788813380885-7184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PEREGO</dc:creator>
  <cp:keywords/>
  <dc:description/>
  <cp:lastModifiedBy>Rolli Andrea</cp:lastModifiedBy>
  <cp:revision>3</cp:revision>
  <dcterms:created xsi:type="dcterms:W3CDTF">2023-06-05T06:24:00Z</dcterms:created>
  <dcterms:modified xsi:type="dcterms:W3CDTF">2023-06-23T07:32:00Z</dcterms:modified>
</cp:coreProperties>
</file>