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2EC5" w14:textId="77777777" w:rsidR="00D2090C" w:rsidRPr="00357FA9" w:rsidRDefault="00D2090C" w:rsidP="00D2090C">
      <w:pPr>
        <w:pStyle w:val="Titolo1"/>
      </w:pPr>
      <w:r>
        <w:t>Diritto privato comparato</w:t>
      </w:r>
    </w:p>
    <w:p w14:paraId="58C22AE9" w14:textId="77777777" w:rsidR="00D2090C" w:rsidRPr="00357FA9" w:rsidRDefault="00D2090C" w:rsidP="00D2090C">
      <w:pPr>
        <w:pStyle w:val="Titolo1"/>
        <w:spacing w:before="0"/>
        <w:rPr>
          <w:b w:val="0"/>
          <w:smallCaps/>
          <w:sz w:val="18"/>
          <w:szCs w:val="18"/>
        </w:rPr>
      </w:pPr>
      <w:r w:rsidRPr="00357FA9">
        <w:rPr>
          <w:b w:val="0"/>
          <w:smallCaps/>
          <w:sz w:val="18"/>
          <w:szCs w:val="18"/>
        </w:rPr>
        <w:t xml:space="preserve">Prof. </w:t>
      </w:r>
      <w:r w:rsidR="00172354">
        <w:rPr>
          <w:b w:val="0"/>
          <w:smallCaps/>
          <w:sz w:val="18"/>
          <w:szCs w:val="18"/>
        </w:rPr>
        <w:t>Francesca Benatti</w:t>
      </w:r>
    </w:p>
    <w:p w14:paraId="2BF50357" w14:textId="77777777" w:rsidR="002D5E17" w:rsidRDefault="00D2090C" w:rsidP="00D2090C">
      <w:pPr>
        <w:spacing w:before="240" w:after="120" w:line="240" w:lineRule="exact"/>
        <w:rPr>
          <w:b/>
          <w:i/>
          <w:sz w:val="18"/>
        </w:rPr>
      </w:pPr>
      <w:r>
        <w:rPr>
          <w:b/>
          <w:i/>
          <w:sz w:val="18"/>
        </w:rPr>
        <w:t>OBIETTIVO DEL CORSO E RISULTATI DI APPRENDIMENTO ATTESI</w:t>
      </w:r>
    </w:p>
    <w:p w14:paraId="718DDA26" w14:textId="77777777" w:rsidR="00FC343E" w:rsidRDefault="00FC343E" w:rsidP="00FC343E">
      <w:r>
        <w:t>Scopo dell’insegnamento è di introdurre gli studenti, anche mediante esempi concreti, nella comparazione giuridica in diritto privato. A tal fine, il corso si propone di far acquisire agli studenti consapevolezza del dibattito sul senso e la rilevanza della comparazione nell’ambito generale del metodo giuridico e, in particolare, una conoscenza di alcune questioni significative nei settori del diritto della famiglia e del contratto in Europa. La parte speciale è infatti concepita non solo come approfondimento in chiave di micro-comparazione, ma anche come banco di prova ed esemplificazione del metodo della comparazione.</w:t>
      </w:r>
    </w:p>
    <w:p w14:paraId="69F6D0D3" w14:textId="77777777" w:rsidR="00FC343E" w:rsidRDefault="00FC343E" w:rsidP="00FC343E">
      <w:pPr>
        <w:spacing w:before="120"/>
      </w:pPr>
      <w:r>
        <w:t>Al termine dell’insegnamento, lo studente sarà in grado di meglio cogliere i problemi sottesi alle discipline oggetto della micro-comparazione svolta anche con riferimento allo stesso diritto italiano. Migliorerà quindi la sua stessa capacità di apprendimento, tenuto anche conto che saprà orientarsi nel sistema delle fonti di common law e avrà maggiore consapevolezza del senso della distinzione tra ordinamenti di legge scritta e ordinamenti in cui prevale la formazione giudiziale del diritto. In sintesi, individuerà in modo appropriato il punto di innesto della comparazione nell’argomentazione giuridica e acquisirà maggiore competenza nell’uso del metodo giuridico e dei canoni interpretativi anche in relazione alle esigenze imposte dalla crescente internazionalizzazione. Tali competenze si tradurranno in una maggiore autonomia di giudizio nel discorso giuridico e, grazie all’arricchimento del lessico e degli strumenti argomentativi applicati anche in esempi concreti, in un rafforzamento delle abilità comunicative.</w:t>
      </w:r>
    </w:p>
    <w:p w14:paraId="3CB61395" w14:textId="77777777" w:rsidR="00D2090C" w:rsidRPr="00D2090C" w:rsidRDefault="00D2090C" w:rsidP="00D2090C">
      <w:pPr>
        <w:spacing w:before="240" w:after="120" w:line="240" w:lineRule="exact"/>
        <w:rPr>
          <w:b/>
          <w:sz w:val="18"/>
        </w:rPr>
      </w:pPr>
      <w:r>
        <w:rPr>
          <w:b/>
          <w:i/>
          <w:sz w:val="18"/>
        </w:rPr>
        <w:t>PROGRAMMA DEL CORSO</w:t>
      </w:r>
    </w:p>
    <w:p w14:paraId="301A084E" w14:textId="77777777" w:rsidR="00D2090C" w:rsidRPr="00D2090C" w:rsidRDefault="00D2090C" w:rsidP="00EB39F7">
      <w:pPr>
        <w:spacing w:line="240" w:lineRule="exact"/>
        <w:ind w:left="284" w:hanging="284"/>
        <w:rPr>
          <w:i/>
          <w:szCs w:val="20"/>
        </w:rPr>
      </w:pPr>
      <w:r w:rsidRPr="00D2090C">
        <w:rPr>
          <w:i/>
          <w:szCs w:val="20"/>
        </w:rPr>
        <w:t>Parte generale</w:t>
      </w:r>
    </w:p>
    <w:p w14:paraId="71BD759E" w14:textId="77777777" w:rsidR="00D2090C" w:rsidRPr="00D2090C" w:rsidRDefault="00D2090C" w:rsidP="00EB39F7">
      <w:pPr>
        <w:spacing w:line="240" w:lineRule="exact"/>
        <w:ind w:left="284" w:hanging="284"/>
        <w:rPr>
          <w:szCs w:val="20"/>
        </w:rPr>
      </w:pPr>
      <w:r w:rsidRPr="00D2090C">
        <w:rPr>
          <w:szCs w:val="20"/>
        </w:rPr>
        <w:t>La comparazione giuridica con particolare riguardo al diritto privato.</w:t>
      </w:r>
    </w:p>
    <w:p w14:paraId="0C563413" w14:textId="77777777"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La comparazione tra conoscenza e metodo.</w:t>
      </w:r>
    </w:p>
    <w:p w14:paraId="6218722D" w14:textId="77777777"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Funzioni e modo della comparazione giuridica.</w:t>
      </w:r>
    </w:p>
    <w:p w14:paraId="5EE107CE" w14:textId="77777777"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Le aree giuridiche e i metodi per determinarle.</w:t>
      </w:r>
    </w:p>
    <w:p w14:paraId="79F55368" w14:textId="77777777"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szCs w:val="20"/>
        </w:rPr>
        <w:t>Le principali aree giuridiche dell’Europa.</w:t>
      </w:r>
    </w:p>
    <w:p w14:paraId="538DBA5C" w14:textId="77777777" w:rsidR="00D2090C" w:rsidRPr="00D2090C" w:rsidRDefault="00D2090C" w:rsidP="00EB39F7">
      <w:pPr>
        <w:numPr>
          <w:ilvl w:val="0"/>
          <w:numId w:val="1"/>
        </w:numPr>
        <w:tabs>
          <w:tab w:val="clear" w:pos="284"/>
        </w:tabs>
        <w:suppressAutoHyphens/>
        <w:spacing w:line="240" w:lineRule="exact"/>
        <w:ind w:left="284" w:hanging="284"/>
        <w:rPr>
          <w:i/>
          <w:szCs w:val="20"/>
        </w:rPr>
      </w:pPr>
      <w:r w:rsidRPr="00D2090C">
        <w:rPr>
          <w:szCs w:val="20"/>
        </w:rPr>
        <w:t>Codificazione e comparazione.</w:t>
      </w:r>
    </w:p>
    <w:p w14:paraId="7F3345BE" w14:textId="77777777" w:rsidR="00D2090C" w:rsidRPr="00D2090C" w:rsidRDefault="00D2090C" w:rsidP="00EB39F7">
      <w:pPr>
        <w:numPr>
          <w:ilvl w:val="0"/>
          <w:numId w:val="1"/>
        </w:numPr>
        <w:tabs>
          <w:tab w:val="clear" w:pos="284"/>
        </w:tabs>
        <w:suppressAutoHyphens/>
        <w:spacing w:line="240" w:lineRule="exact"/>
        <w:ind w:left="284" w:hanging="284"/>
        <w:rPr>
          <w:szCs w:val="20"/>
        </w:rPr>
      </w:pPr>
      <w:r w:rsidRPr="00D2090C">
        <w:rPr>
          <w:i/>
          <w:szCs w:val="20"/>
        </w:rPr>
        <w:t>Common law</w:t>
      </w:r>
      <w:r w:rsidRPr="00D2090C">
        <w:rPr>
          <w:szCs w:val="20"/>
        </w:rPr>
        <w:t xml:space="preserve"> </w:t>
      </w:r>
      <w:r w:rsidR="00DE14C9">
        <w:rPr>
          <w:szCs w:val="20"/>
        </w:rPr>
        <w:t>inglese e statunitense</w:t>
      </w:r>
      <w:r w:rsidRPr="00D2090C">
        <w:rPr>
          <w:szCs w:val="20"/>
        </w:rPr>
        <w:t>.</w:t>
      </w:r>
    </w:p>
    <w:p w14:paraId="6D07808F" w14:textId="77777777" w:rsidR="00D2090C" w:rsidRDefault="00DE14C9" w:rsidP="00EB39F7">
      <w:pPr>
        <w:numPr>
          <w:ilvl w:val="0"/>
          <w:numId w:val="1"/>
        </w:numPr>
        <w:tabs>
          <w:tab w:val="clear" w:pos="284"/>
        </w:tabs>
        <w:suppressAutoHyphens/>
        <w:spacing w:line="240" w:lineRule="exact"/>
        <w:ind w:left="284" w:hanging="284"/>
        <w:rPr>
          <w:szCs w:val="20"/>
        </w:rPr>
      </w:pPr>
      <w:r>
        <w:rPr>
          <w:szCs w:val="20"/>
        </w:rPr>
        <w:t>Cenni di diritto cinese, giapponese, indiano</w:t>
      </w:r>
      <w:r w:rsidR="00D2090C" w:rsidRPr="00D2090C">
        <w:rPr>
          <w:szCs w:val="20"/>
        </w:rPr>
        <w:t>.</w:t>
      </w:r>
    </w:p>
    <w:p w14:paraId="53DBD593" w14:textId="77777777" w:rsidR="00DE14C9" w:rsidRPr="00D2090C" w:rsidRDefault="00DE14C9" w:rsidP="00EB39F7">
      <w:pPr>
        <w:numPr>
          <w:ilvl w:val="0"/>
          <w:numId w:val="1"/>
        </w:numPr>
        <w:tabs>
          <w:tab w:val="clear" w:pos="284"/>
        </w:tabs>
        <w:suppressAutoHyphens/>
        <w:spacing w:line="240" w:lineRule="exact"/>
        <w:ind w:left="284" w:hanging="284"/>
        <w:rPr>
          <w:szCs w:val="20"/>
        </w:rPr>
      </w:pPr>
      <w:r>
        <w:rPr>
          <w:szCs w:val="20"/>
        </w:rPr>
        <w:t>Cenni sul diritto dell’America Latina</w:t>
      </w:r>
    </w:p>
    <w:p w14:paraId="339D4A56" w14:textId="77777777" w:rsidR="00D2090C" w:rsidRPr="00D2090C" w:rsidRDefault="00D2090C" w:rsidP="00EB39F7">
      <w:pPr>
        <w:spacing w:before="120" w:line="240" w:lineRule="exact"/>
        <w:ind w:left="284" w:hanging="284"/>
        <w:rPr>
          <w:i/>
          <w:szCs w:val="20"/>
        </w:rPr>
      </w:pPr>
      <w:r w:rsidRPr="00D2090C">
        <w:rPr>
          <w:i/>
          <w:szCs w:val="20"/>
        </w:rPr>
        <w:t>Parte speciale</w:t>
      </w:r>
    </w:p>
    <w:p w14:paraId="3439883B" w14:textId="77777777" w:rsidR="00D2090C" w:rsidRPr="00D2090C" w:rsidRDefault="00D2090C" w:rsidP="00EB39F7">
      <w:pPr>
        <w:pStyle w:val="Paragrafoelenco"/>
        <w:numPr>
          <w:ilvl w:val="0"/>
          <w:numId w:val="2"/>
        </w:numPr>
        <w:ind w:left="284" w:hanging="284"/>
        <w:rPr>
          <w:szCs w:val="20"/>
        </w:rPr>
      </w:pPr>
      <w:r w:rsidRPr="00D2090C">
        <w:rPr>
          <w:szCs w:val="20"/>
        </w:rPr>
        <w:lastRenderedPageBreak/>
        <w:t xml:space="preserve">Il contratto nelle codificazioni europee e nel </w:t>
      </w:r>
      <w:r w:rsidRPr="00D2090C">
        <w:rPr>
          <w:i/>
          <w:szCs w:val="20"/>
        </w:rPr>
        <w:t>common law</w:t>
      </w:r>
      <w:r w:rsidRPr="00D2090C">
        <w:rPr>
          <w:szCs w:val="20"/>
        </w:rPr>
        <w:t xml:space="preserve"> inglese</w:t>
      </w:r>
      <w:r w:rsidR="00DE14C9">
        <w:rPr>
          <w:szCs w:val="20"/>
        </w:rPr>
        <w:t xml:space="preserve"> e statunitense</w:t>
      </w:r>
      <w:r w:rsidRPr="00D2090C">
        <w:rPr>
          <w:szCs w:val="20"/>
        </w:rPr>
        <w:t>.</w:t>
      </w:r>
    </w:p>
    <w:p w14:paraId="1E2C01BF" w14:textId="77777777"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 xml:space="preserve">Le ragioni del vincolo contrattuale. Causa e </w:t>
      </w:r>
      <w:r w:rsidRPr="00FC343E">
        <w:rPr>
          <w:i/>
          <w:iCs/>
          <w:szCs w:val="20"/>
        </w:rPr>
        <w:t>consideration</w:t>
      </w:r>
      <w:r w:rsidRPr="00FC343E">
        <w:rPr>
          <w:szCs w:val="20"/>
        </w:rPr>
        <w:t>.</w:t>
      </w:r>
    </w:p>
    <w:p w14:paraId="194BCCB6" w14:textId="77777777"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Formazione del contratto.</w:t>
      </w:r>
    </w:p>
    <w:p w14:paraId="0BF9312C" w14:textId="77777777"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Buona fede.</w:t>
      </w:r>
    </w:p>
    <w:p w14:paraId="71E00A4C" w14:textId="77777777" w:rsidR="00D2090C" w:rsidRPr="00FC343E" w:rsidRDefault="00D2090C" w:rsidP="00FC343E">
      <w:pPr>
        <w:numPr>
          <w:ilvl w:val="0"/>
          <w:numId w:val="1"/>
        </w:numPr>
        <w:tabs>
          <w:tab w:val="clear" w:pos="284"/>
        </w:tabs>
        <w:suppressAutoHyphens/>
        <w:spacing w:line="240" w:lineRule="exact"/>
        <w:ind w:left="284" w:hanging="284"/>
        <w:rPr>
          <w:szCs w:val="20"/>
        </w:rPr>
      </w:pPr>
      <w:r w:rsidRPr="00FC343E">
        <w:rPr>
          <w:szCs w:val="20"/>
        </w:rPr>
        <w:t>Sopravvenienze</w:t>
      </w:r>
    </w:p>
    <w:p w14:paraId="3AF7F0FB" w14:textId="77777777" w:rsidR="00D2090C" w:rsidRPr="00C439D1" w:rsidRDefault="00FC343E" w:rsidP="00FC343E">
      <w:pPr>
        <w:pStyle w:val="Paragrafoelenco"/>
        <w:numPr>
          <w:ilvl w:val="0"/>
          <w:numId w:val="2"/>
        </w:numPr>
        <w:spacing w:before="120"/>
        <w:ind w:left="284" w:hanging="284"/>
      </w:pPr>
      <w:r>
        <w:t xml:space="preserve">L’illecito civile nei sistemi di </w:t>
      </w:r>
      <w:r w:rsidRPr="00E17FA6">
        <w:t>common law</w:t>
      </w:r>
      <w:r w:rsidR="00D2090C">
        <w:t>.</w:t>
      </w:r>
    </w:p>
    <w:p w14:paraId="54E4B243" w14:textId="24118877" w:rsidR="00D2090C" w:rsidRPr="00EB39F7" w:rsidRDefault="00D2090C" w:rsidP="00EB39F7">
      <w:pPr>
        <w:spacing w:before="240" w:after="120"/>
        <w:rPr>
          <w:b/>
          <w:i/>
          <w:sz w:val="18"/>
        </w:rPr>
      </w:pPr>
      <w:r>
        <w:rPr>
          <w:b/>
          <w:i/>
          <w:sz w:val="18"/>
        </w:rPr>
        <w:t>BIBLIOGRAFIA</w:t>
      </w:r>
      <w:r w:rsidR="00F4336E">
        <w:rPr>
          <w:rStyle w:val="Rimandonotaapidipagina"/>
          <w:b/>
          <w:i/>
          <w:sz w:val="18"/>
        </w:rPr>
        <w:footnoteReference w:id="1"/>
      </w:r>
    </w:p>
    <w:p w14:paraId="64978F73" w14:textId="77777777" w:rsidR="00E4438A" w:rsidRPr="00E4438A" w:rsidRDefault="00E4438A" w:rsidP="00E4438A">
      <w:pPr>
        <w:pStyle w:val="Testo2"/>
        <w:spacing w:line="240" w:lineRule="atLeast"/>
        <w:ind w:left="284" w:hanging="284"/>
      </w:pPr>
      <w:r w:rsidRPr="00E4438A">
        <w:rPr>
          <w:smallCaps/>
          <w:spacing w:val="-5"/>
          <w:sz w:val="16"/>
        </w:rPr>
        <w:t>K. Zweigert-H. Kötz</w:t>
      </w:r>
      <w:r w:rsidRPr="00E4438A">
        <w:rPr>
          <w:smallCaps/>
          <w:sz w:val="16"/>
        </w:rPr>
        <w:t>,</w:t>
      </w:r>
      <w:r w:rsidRPr="00E4438A">
        <w:rPr>
          <w:i/>
        </w:rPr>
        <w:t xml:space="preserve"> Introduzione al diritto comparato,</w:t>
      </w:r>
      <w:r w:rsidRPr="00E4438A">
        <w:t xml:space="preserve"> Giuffrè, Milano, 1998, vol. I, ed. it. a cura di A. Di Majo e A. Gambaro, rist. integrata con addenda (§§ 1-17, 19). </w:t>
      </w:r>
    </w:p>
    <w:p w14:paraId="25672A30" w14:textId="10F59EDA" w:rsidR="00E4438A" w:rsidRPr="00E4438A" w:rsidRDefault="00E4438A" w:rsidP="00E4438A">
      <w:pPr>
        <w:pStyle w:val="Testo2"/>
        <w:spacing w:line="240" w:lineRule="atLeast"/>
        <w:ind w:left="284" w:hanging="284"/>
        <w:rPr>
          <w:rStyle w:val="Enfasicorsivo"/>
          <w:spacing w:val="-5"/>
        </w:rPr>
      </w:pPr>
      <w:r w:rsidRPr="00E4438A">
        <w:rPr>
          <w:smallCaps/>
          <w:sz w:val="16"/>
        </w:rPr>
        <w:t>K. Zweigert-H. Kötz</w:t>
      </w:r>
      <w:r w:rsidRPr="00E4438A">
        <w:rPr>
          <w:smallCaps/>
          <w:spacing w:val="-5"/>
          <w:sz w:val="16"/>
        </w:rPr>
        <w:t>,</w:t>
      </w:r>
      <w:r w:rsidRPr="00E4438A">
        <w:rPr>
          <w:i/>
          <w:spacing w:val="-5"/>
        </w:rPr>
        <w:t xml:space="preserve"> Introduzione al diritto comparato,</w:t>
      </w:r>
      <w:r w:rsidRPr="00E4438A">
        <w:rPr>
          <w:spacing w:val="-5"/>
        </w:rPr>
        <w:t xml:space="preserve"> Giuffrè, Milano, 2011, vol. II, Istituti, ed. it. a cura di A. Di Majo e A. Gambaro, rist. integrata con addenda </w:t>
      </w:r>
      <w:r w:rsidRPr="00E4438A">
        <w:rPr>
          <w:rStyle w:val="Enfasicorsivo"/>
          <w:spacing w:val="-5"/>
        </w:rPr>
        <w:t>(A. Il contratto, I. La conclusione, §§ 1-3-6-8-9. II. La esecuzione del contratto §§12-13-14</w:t>
      </w:r>
      <w:r w:rsidRPr="00E4438A">
        <w:rPr>
          <w:rStyle w:val="Enfasicorsivo"/>
          <w:i w:val="0"/>
          <w:iCs w:val="0"/>
          <w:spacing w:val="-5"/>
        </w:rPr>
        <w:t xml:space="preserve"> e la parte intitolata </w:t>
      </w:r>
      <w:r w:rsidRPr="00E4438A">
        <w:rPr>
          <w:rStyle w:val="Enfasicorsivo"/>
          <w:spacing w:val="-5"/>
        </w:rPr>
        <w:t xml:space="preserve">La “Modernisierung” delle obbligazioni nel diritto tedesco). </w:t>
      </w:r>
      <w:r w:rsidR="00F4336E">
        <w:rPr>
          <w:rStyle w:val="Enfasicorsivo"/>
          <w:spacing w:val="-5"/>
        </w:rPr>
        <w:t xml:space="preserve"> </w:t>
      </w:r>
      <w:hyperlink r:id="rId8" w:history="1">
        <w:r w:rsidR="00F4336E" w:rsidRPr="00F4336E">
          <w:rPr>
            <w:rStyle w:val="Collegamentoipertestuale"/>
            <w:rFonts w:ascii="Times New Roman" w:hAnsi="Times New Roman"/>
            <w:i/>
            <w:szCs w:val="18"/>
          </w:rPr>
          <w:t>Acquista da VP</w:t>
        </w:r>
      </w:hyperlink>
    </w:p>
    <w:p w14:paraId="01CA2D23" w14:textId="77777777" w:rsidR="00172354" w:rsidRDefault="00172354" w:rsidP="00422401">
      <w:pPr>
        <w:pStyle w:val="Testo1"/>
      </w:pPr>
      <w:r>
        <w:t>Materiale e casi saranno messi a disposizione sulla pagina blackboard del docente.</w:t>
      </w:r>
    </w:p>
    <w:p w14:paraId="443245F2" w14:textId="77777777" w:rsidR="00FC343E" w:rsidRPr="00D2090C" w:rsidRDefault="00FC343E" w:rsidP="00FC343E">
      <w:pPr>
        <w:spacing w:before="240" w:after="120"/>
        <w:rPr>
          <w:b/>
          <w:i/>
          <w:sz w:val="18"/>
        </w:rPr>
      </w:pPr>
      <w:r>
        <w:rPr>
          <w:b/>
          <w:i/>
          <w:sz w:val="18"/>
        </w:rPr>
        <w:t>DIDATTICA DEL CORSO</w:t>
      </w:r>
    </w:p>
    <w:p w14:paraId="57B23187" w14:textId="77777777" w:rsidR="00D2090C" w:rsidRPr="000443BD" w:rsidRDefault="00D2090C" w:rsidP="00D2090C">
      <w:pPr>
        <w:pStyle w:val="Testo2"/>
        <w:rPr>
          <w:rFonts w:eastAsia="SimSun"/>
          <w:lang w:eastAsia="zh-CN" w:bidi="hi-IN"/>
        </w:rPr>
      </w:pPr>
      <w:r>
        <w:rPr>
          <w:rFonts w:eastAsia="SimSun"/>
          <w:lang w:eastAsia="zh-CN" w:bidi="hi-IN"/>
        </w:rPr>
        <w:t>Lezioni del docente</w:t>
      </w:r>
    </w:p>
    <w:p w14:paraId="6A22E600" w14:textId="77777777" w:rsidR="00D2090C" w:rsidRPr="00D2090C" w:rsidRDefault="00D2090C" w:rsidP="00D2090C">
      <w:pPr>
        <w:spacing w:before="240" w:after="120"/>
        <w:rPr>
          <w:b/>
          <w:i/>
          <w:sz w:val="18"/>
        </w:rPr>
      </w:pPr>
      <w:r>
        <w:rPr>
          <w:b/>
          <w:i/>
          <w:sz w:val="18"/>
        </w:rPr>
        <w:t>METODO E CRITERI DI VALUTAZIONE</w:t>
      </w:r>
    </w:p>
    <w:p w14:paraId="57DE85A9" w14:textId="77777777" w:rsidR="00D2090C" w:rsidRDefault="00D2090C" w:rsidP="00D2090C">
      <w:pPr>
        <w:pStyle w:val="Testo2"/>
      </w:pPr>
      <w:r w:rsidRPr="002D2EE3">
        <w:rPr>
          <w:rFonts w:eastAsia="SimSun"/>
          <w:lang w:eastAsia="zh-CN" w:bidi="hi-IN"/>
        </w:rPr>
        <w:t xml:space="preserve">L’esame si svolge in forma orale. La prova, che sarà articolata in domande su ciascuna delle due parti del corso, verrà valutata in trentesimi, tenendo conto dei contenuti delle risposte, della capacità espositiva </w:t>
      </w:r>
      <w:r>
        <w:rPr>
          <w:rFonts w:eastAsia="SimSun"/>
          <w:lang w:eastAsia="zh-CN" w:bidi="hi-IN"/>
        </w:rPr>
        <w:t xml:space="preserve">e </w:t>
      </w:r>
      <w:r w:rsidRPr="002D2EE3">
        <w:rPr>
          <w:rFonts w:eastAsia="SimSun"/>
          <w:lang w:eastAsia="zh-CN" w:bidi="hi-IN"/>
        </w:rPr>
        <w:t>argomentativa</w:t>
      </w:r>
      <w:r>
        <w:rPr>
          <w:rFonts w:eastAsia="SimSun"/>
          <w:lang w:eastAsia="zh-CN" w:bidi="hi-IN"/>
        </w:rPr>
        <w:t>, inclusa naturalmente l’appropriatezza</w:t>
      </w:r>
      <w:r w:rsidRPr="00831C63">
        <w:rPr>
          <w:rFonts w:eastAsia="SimSun"/>
          <w:lang w:eastAsia="zh-CN" w:bidi="hi-IN"/>
        </w:rPr>
        <w:t xml:space="preserve"> della terminologia</w:t>
      </w:r>
      <w:r w:rsidRPr="002D2EE3">
        <w:rPr>
          <w:rFonts w:eastAsia="SimSun"/>
          <w:lang w:eastAsia="zh-CN" w:bidi="hi-IN"/>
        </w:rPr>
        <w:t>, nonché dell’attitudine critica del candidato.</w:t>
      </w:r>
    </w:p>
    <w:p w14:paraId="0EBA814F" w14:textId="77777777" w:rsidR="00D2090C" w:rsidRDefault="00D2090C" w:rsidP="00D2090C">
      <w:pPr>
        <w:spacing w:before="240" w:after="120" w:line="240" w:lineRule="exact"/>
        <w:rPr>
          <w:rFonts w:eastAsia="SimSun"/>
          <w:b/>
          <w:i/>
          <w:sz w:val="18"/>
          <w:lang w:eastAsia="zh-CN" w:bidi="hi-IN"/>
        </w:rPr>
      </w:pPr>
      <w:r>
        <w:rPr>
          <w:rFonts w:eastAsia="SimSun"/>
          <w:b/>
          <w:i/>
          <w:sz w:val="18"/>
          <w:lang w:eastAsia="zh-CN" w:bidi="hi-IN"/>
        </w:rPr>
        <w:t>AVVERTENZE E PREREQUISITI</w:t>
      </w:r>
    </w:p>
    <w:p w14:paraId="23FF702B" w14:textId="77777777" w:rsidR="00D2090C" w:rsidRPr="005C2565" w:rsidRDefault="00D2090C" w:rsidP="005C2565">
      <w:pPr>
        <w:pStyle w:val="Testo2"/>
        <w:rPr>
          <w:rFonts w:eastAsia="SimSun"/>
        </w:rPr>
      </w:pPr>
      <w:r w:rsidRPr="005C2565">
        <w:rPr>
          <w:rFonts w:eastAsia="SimSun"/>
        </w:rPr>
        <w:t>Si raccomanda la frequenza. È opportuno che lo studente abbia superato gli esami di Istituzioni di diritto privato e di Diritto civile I. È consigliata anche la frequenza di Diritto civile II. Lo studente dovrà possedere buone conoscenze di base in diritto civile e almeno la capacità di leggere testi in lingua inglese.</w:t>
      </w:r>
    </w:p>
    <w:p w14:paraId="197EEB81" w14:textId="264F1A3E" w:rsidR="0051420D" w:rsidRPr="005C2565" w:rsidRDefault="005C2565" w:rsidP="005C2565">
      <w:pPr>
        <w:pStyle w:val="Testo2"/>
        <w:spacing w:before="120"/>
        <w:rPr>
          <w:rFonts w:eastAsia="SimSun"/>
          <w:i/>
          <w:iCs/>
        </w:rPr>
      </w:pPr>
      <w:r w:rsidRPr="005C2565">
        <w:rPr>
          <w:rFonts w:eastAsia="SimSun"/>
          <w:i/>
          <w:iCs/>
        </w:rPr>
        <w:t>Orario e luogo di ricevimento</w:t>
      </w:r>
    </w:p>
    <w:p w14:paraId="3E18E270" w14:textId="77777777" w:rsidR="0051420D" w:rsidRPr="005C2565" w:rsidRDefault="0051420D" w:rsidP="005C2565">
      <w:pPr>
        <w:pStyle w:val="Testo2"/>
        <w:rPr>
          <w:rFonts w:eastAsia="SimSun"/>
        </w:rPr>
      </w:pPr>
      <w:r w:rsidRPr="005C2565">
        <w:rPr>
          <w:rFonts w:eastAsia="SimSun"/>
        </w:rPr>
        <w:t>Mercoledì ore 11.00. Stanza 414.</w:t>
      </w:r>
    </w:p>
    <w:sectPr w:rsidR="0051420D" w:rsidRPr="005C256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65F9" w14:textId="77777777" w:rsidR="00F4336E" w:rsidRDefault="00F4336E" w:rsidP="00F4336E">
      <w:pPr>
        <w:spacing w:line="240" w:lineRule="auto"/>
      </w:pPr>
      <w:r>
        <w:separator/>
      </w:r>
    </w:p>
  </w:endnote>
  <w:endnote w:type="continuationSeparator" w:id="0">
    <w:p w14:paraId="3526F923" w14:textId="77777777" w:rsidR="00F4336E" w:rsidRDefault="00F4336E" w:rsidP="00F43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AA8" w14:textId="77777777" w:rsidR="00F4336E" w:rsidRDefault="00F4336E" w:rsidP="00F4336E">
      <w:pPr>
        <w:spacing w:line="240" w:lineRule="auto"/>
      </w:pPr>
      <w:r>
        <w:separator/>
      </w:r>
    </w:p>
  </w:footnote>
  <w:footnote w:type="continuationSeparator" w:id="0">
    <w:p w14:paraId="4A60CCA3" w14:textId="77777777" w:rsidR="00F4336E" w:rsidRDefault="00F4336E" w:rsidP="00F4336E">
      <w:pPr>
        <w:spacing w:line="240" w:lineRule="auto"/>
      </w:pPr>
      <w:r>
        <w:continuationSeparator/>
      </w:r>
    </w:p>
  </w:footnote>
  <w:footnote w:id="1">
    <w:p w14:paraId="4FACF0EE" w14:textId="3E602BA6" w:rsidR="00F4336E" w:rsidRDefault="00F4336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B079E"/>
    <w:multiLevelType w:val="hybridMultilevel"/>
    <w:tmpl w:val="B296986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7985934"/>
    <w:multiLevelType w:val="hybridMultilevel"/>
    <w:tmpl w:val="13B68C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1578937">
    <w:abstractNumId w:val="0"/>
  </w:num>
  <w:num w:numId="2" w16cid:durableId="212449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0C"/>
    <w:rsid w:val="00172354"/>
    <w:rsid w:val="00187B99"/>
    <w:rsid w:val="002014DD"/>
    <w:rsid w:val="002D5E17"/>
    <w:rsid w:val="002F3FDA"/>
    <w:rsid w:val="00422401"/>
    <w:rsid w:val="004D1217"/>
    <w:rsid w:val="004D6008"/>
    <w:rsid w:val="0051420D"/>
    <w:rsid w:val="005C2565"/>
    <w:rsid w:val="00640794"/>
    <w:rsid w:val="006F1772"/>
    <w:rsid w:val="00790001"/>
    <w:rsid w:val="008942E7"/>
    <w:rsid w:val="00896353"/>
    <w:rsid w:val="008A1204"/>
    <w:rsid w:val="00900CCA"/>
    <w:rsid w:val="00924B77"/>
    <w:rsid w:val="00940DA2"/>
    <w:rsid w:val="009E055C"/>
    <w:rsid w:val="00A74F6F"/>
    <w:rsid w:val="00AD7557"/>
    <w:rsid w:val="00B50C5D"/>
    <w:rsid w:val="00B51253"/>
    <w:rsid w:val="00B525CC"/>
    <w:rsid w:val="00CD3FF0"/>
    <w:rsid w:val="00D2090C"/>
    <w:rsid w:val="00D404F2"/>
    <w:rsid w:val="00DE14C9"/>
    <w:rsid w:val="00E4438A"/>
    <w:rsid w:val="00E607E6"/>
    <w:rsid w:val="00EB39F7"/>
    <w:rsid w:val="00F4336E"/>
    <w:rsid w:val="00FC3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395DF"/>
  <w15:chartTrackingRefBased/>
  <w15:docId w15:val="{C3783F34-56DC-4F44-AFD4-7BC1CC0E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2090C"/>
    <w:pPr>
      <w:tabs>
        <w:tab w:val="clear" w:pos="284"/>
      </w:tabs>
      <w:spacing w:line="240" w:lineRule="exact"/>
      <w:ind w:left="720"/>
      <w:contextualSpacing/>
    </w:pPr>
    <w:rPr>
      <w:rFonts w:eastAsia="MS Mincho"/>
    </w:rPr>
  </w:style>
  <w:style w:type="character" w:styleId="Enfasicorsivo">
    <w:name w:val="Emphasis"/>
    <w:basedOn w:val="Carpredefinitoparagrafo"/>
    <w:qFormat/>
    <w:rsid w:val="00D2090C"/>
    <w:rPr>
      <w:i/>
      <w:iCs/>
    </w:rPr>
  </w:style>
  <w:style w:type="character" w:styleId="Collegamentoipertestuale">
    <w:name w:val="Hyperlink"/>
    <w:basedOn w:val="Carpredefinitoparagrafo"/>
    <w:rsid w:val="00E4438A"/>
    <w:rPr>
      <w:color w:val="0563C1" w:themeColor="hyperlink"/>
      <w:u w:val="single"/>
    </w:rPr>
  </w:style>
  <w:style w:type="paragraph" w:styleId="Testofumetto">
    <w:name w:val="Balloon Text"/>
    <w:basedOn w:val="Normale"/>
    <w:link w:val="TestofumettoCarattere"/>
    <w:semiHidden/>
    <w:unhideWhenUsed/>
    <w:rsid w:val="00FC34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C343E"/>
    <w:rPr>
      <w:rFonts w:ascii="Segoe UI" w:hAnsi="Segoe UI" w:cs="Segoe UI"/>
      <w:sz w:val="18"/>
      <w:szCs w:val="18"/>
    </w:rPr>
  </w:style>
  <w:style w:type="paragraph" w:styleId="Testonotaapidipagina">
    <w:name w:val="footnote text"/>
    <w:basedOn w:val="Normale"/>
    <w:link w:val="TestonotaapidipaginaCarattere"/>
    <w:rsid w:val="00F4336E"/>
    <w:pPr>
      <w:spacing w:line="240" w:lineRule="auto"/>
    </w:pPr>
    <w:rPr>
      <w:szCs w:val="20"/>
    </w:rPr>
  </w:style>
  <w:style w:type="character" w:customStyle="1" w:styleId="TestonotaapidipaginaCarattere">
    <w:name w:val="Testo nota a piè di pagina Carattere"/>
    <w:basedOn w:val="Carpredefinitoparagrafo"/>
    <w:link w:val="Testonotaapidipagina"/>
    <w:rsid w:val="00F4336E"/>
  </w:style>
  <w:style w:type="character" w:styleId="Rimandonotaapidipagina">
    <w:name w:val="footnote reference"/>
    <w:basedOn w:val="Carpredefinitoparagrafo"/>
    <w:rsid w:val="00F4336E"/>
    <w:rPr>
      <w:vertAlign w:val="superscript"/>
    </w:rPr>
  </w:style>
  <w:style w:type="character" w:styleId="Menzionenonrisolta">
    <w:name w:val="Unresolved Mention"/>
    <w:basedOn w:val="Carpredefinitoparagrafo"/>
    <w:uiPriority w:val="99"/>
    <w:semiHidden/>
    <w:unhideWhenUsed/>
    <w:rsid w:val="00F4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konrad-zweigert-hein-kotz/introduzione-al-diritto-comparato-9788814155857-51704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BBE3-EF3E-4265-BDF5-83089E75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559</Words>
  <Characters>3485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2023-04-21T06:58:00Z</dcterms:created>
  <dcterms:modified xsi:type="dcterms:W3CDTF">2023-06-23T09:51:00Z</dcterms:modified>
</cp:coreProperties>
</file>